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56"/>
          <w:szCs w:val="56"/>
          <w:highlight w:val="none"/>
          <w:lang w:val="en-US" w:eastAsia="zh-CN"/>
          <w14:textFill>
            <w14:solidFill>
              <w14:schemeClr w14:val="tx1"/>
            </w14:solidFill>
          </w14:textFill>
        </w:rPr>
      </w:pP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56"/>
          <w:szCs w:val="56"/>
          <w:highlight w:val="none"/>
          <w:lang w:val="en-US" w:eastAsia="zh-CN"/>
          <w14:textFill>
            <w14:solidFill>
              <w14:schemeClr w14:val="tx1"/>
            </w14:solidFill>
          </w14:textFill>
        </w:rPr>
      </w:pP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kern w:val="36"/>
          <w:sz w:val="44"/>
          <w:szCs w:val="44"/>
          <w:highlight w:val="none"/>
          <w:lang w:val="en-US" w:eastAsia="zh-CN"/>
          <w14:textFill>
            <w14:solidFill>
              <w14:schemeClr w14:val="tx1"/>
            </w14:solidFill>
          </w14:textFill>
        </w:rPr>
        <w:t>G348</w:t>
      </w:r>
      <w:r>
        <w:rPr>
          <w:rFonts w:hint="eastAsia" w:ascii="仿宋_GB2312" w:hAnsi="仿宋_GB2312" w:eastAsia="仿宋_GB2312" w:cs="仿宋_GB2312"/>
          <w:color w:val="000000" w:themeColor="text1"/>
          <w:sz w:val="44"/>
          <w:szCs w:val="44"/>
          <w:highlight w:val="none"/>
          <w:lang w:val="en-US" w:eastAsia="zh-CN"/>
          <w14:textFill>
            <w14:solidFill>
              <w14:schemeClr w14:val="tx1"/>
            </w14:solidFill>
          </w14:textFill>
        </w:rPr>
        <w:t>公交站台亮化电线穿管工程</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pP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pPr>
      <w:r>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t>询</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pPr>
      <w:r>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t>比</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pPr>
      <w:r>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t>采</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pPr>
      <w:r>
        <w:rPr>
          <w:rFonts w:hint="eastAsia" w:ascii="仿宋" w:hAnsi="仿宋" w:eastAsia="仿宋" w:cs="仿宋"/>
          <w:b/>
          <w:bCs/>
          <w:color w:val="000000" w:themeColor="text1"/>
          <w:kern w:val="36"/>
          <w:sz w:val="84"/>
          <w:szCs w:val="84"/>
          <w:highlight w:val="none"/>
          <w:lang w:val="en-US" w:eastAsia="zh-CN"/>
          <w14:textFill>
            <w14:solidFill>
              <w14:schemeClr w14:val="tx1"/>
            </w14:solidFill>
          </w14:textFill>
        </w:rPr>
        <w:t>购</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14:textFill>
            <w14:solidFill>
              <w14:schemeClr w14:val="tx1"/>
            </w14:solidFill>
          </w14:textFill>
        </w:rPr>
      </w:pPr>
      <w:r>
        <w:rPr>
          <w:rFonts w:hint="eastAsia" w:ascii="仿宋" w:hAnsi="仿宋" w:eastAsia="仿宋" w:cs="仿宋"/>
          <w:b/>
          <w:bCs/>
          <w:color w:val="000000" w:themeColor="text1"/>
          <w:kern w:val="36"/>
          <w:sz w:val="84"/>
          <w:szCs w:val="84"/>
          <w:highlight w:val="none"/>
          <w14:textFill>
            <w14:solidFill>
              <w14:schemeClr w14:val="tx1"/>
            </w14:solidFill>
          </w14:textFill>
        </w:rPr>
        <w:t>文</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84"/>
          <w:szCs w:val="84"/>
          <w:highlight w:val="none"/>
          <w14:textFill>
            <w14:solidFill>
              <w14:schemeClr w14:val="tx1"/>
            </w14:solidFill>
          </w14:textFill>
        </w:rPr>
      </w:pPr>
      <w:r>
        <w:rPr>
          <w:rFonts w:hint="eastAsia" w:ascii="仿宋" w:hAnsi="仿宋" w:eastAsia="仿宋" w:cs="仿宋"/>
          <w:b/>
          <w:bCs/>
          <w:color w:val="000000" w:themeColor="text1"/>
          <w:kern w:val="36"/>
          <w:sz w:val="84"/>
          <w:szCs w:val="84"/>
          <w:highlight w:val="none"/>
          <w14:textFill>
            <w14:solidFill>
              <w14:schemeClr w14:val="tx1"/>
            </w14:solidFill>
          </w14:textFill>
        </w:rPr>
        <w:t>件</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72"/>
          <w:szCs w:val="72"/>
          <w:highlight w:val="none"/>
          <w14:textFill>
            <w14:solidFill>
              <w14:schemeClr w14:val="tx1"/>
            </w14:solidFill>
          </w14:textFill>
        </w:rPr>
      </w:pP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kern w:val="36"/>
          <w:sz w:val="44"/>
          <w:szCs w:val="44"/>
          <w:highlight w:val="none"/>
          <w:lang w:val="en-US" w:eastAsia="zh-CN"/>
          <w14:textFill>
            <w14:solidFill>
              <w14:schemeClr w14:val="tx1"/>
            </w14:solidFill>
          </w14:textFill>
        </w:rPr>
        <w:t>自贡市公交集团有限责任公司</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b/>
          <w:bCs/>
          <w:color w:val="000000" w:themeColor="text1"/>
          <w:kern w:val="36"/>
          <w:sz w:val="44"/>
          <w:szCs w:val="44"/>
          <w:highlight w:val="none"/>
          <w14:textFill>
            <w14:solidFill>
              <w14:schemeClr w14:val="tx1"/>
            </w14:solidFill>
          </w14:textFill>
        </w:rPr>
      </w:pPr>
      <w:r>
        <w:rPr>
          <w:rFonts w:hint="eastAsia" w:ascii="仿宋" w:hAnsi="仿宋" w:eastAsia="仿宋" w:cs="仿宋"/>
          <w:b/>
          <w:bCs/>
          <w:color w:val="000000" w:themeColor="text1"/>
          <w:kern w:val="36"/>
          <w:sz w:val="44"/>
          <w:szCs w:val="44"/>
          <w:highlight w:val="none"/>
          <w:lang w:val="en-US" w:eastAsia="zh-CN"/>
          <w14:textFill>
            <w14:solidFill>
              <w14:schemeClr w14:val="tx1"/>
            </w14:solidFill>
          </w14:textFill>
        </w:rPr>
        <w:t xml:space="preserve">2023年10月 </w:t>
      </w:r>
      <w:r>
        <w:rPr>
          <w:rFonts w:hint="eastAsia" w:ascii="仿宋" w:hAnsi="仿宋" w:eastAsia="仿宋" w:cs="仿宋"/>
          <w:b/>
          <w:bCs/>
          <w:color w:val="000000" w:themeColor="text1"/>
          <w:kern w:val="36"/>
          <w:sz w:val="44"/>
          <w:szCs w:val="44"/>
          <w:highlight w:val="none"/>
          <w14:textFill>
            <w14:solidFill>
              <w14:schemeClr w14:val="tx1"/>
            </w14:solidFill>
          </w14:textFill>
        </w:rPr>
        <w:br w:type="page"/>
      </w:r>
    </w:p>
    <w:p>
      <w:pPr>
        <w:keepNext w:val="0"/>
        <w:keepLines w:val="0"/>
        <w:pageBreakBefore w:val="0"/>
        <w:widowControl/>
        <w:shd w:val="clear" w:color="auto" w:fill="FFFFFF"/>
        <w:kinsoku/>
        <w:overflowPunct/>
        <w:topLinePunct w:val="0"/>
        <w:bidi w:val="0"/>
        <w:snapToGrid/>
        <w:spacing w:line="360" w:lineRule="auto"/>
        <w:jc w:val="left"/>
        <w:textAlignment w:val="auto"/>
        <w:outlineLvl w:val="0"/>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黑体" w:hAnsi="黑体" w:eastAsia="黑体" w:cs="黑体"/>
          <w:color w:val="000000" w:themeColor="text1"/>
          <w:kern w:val="0"/>
          <w:sz w:val="32"/>
          <w:szCs w:val="32"/>
          <w:highlight w:val="none"/>
          <w:lang w:eastAsia="zh-CN"/>
          <w14:textFill>
            <w14:solidFill>
              <w14:schemeClr w14:val="tx1"/>
            </w14:solidFill>
          </w14:textFill>
        </w:rPr>
        <w:t>第一章</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highlight w:val="none"/>
          <w:lang w:eastAsia="zh-CN"/>
          <w14:textFill>
            <w14:solidFill>
              <w14:schemeClr w14:val="tx1"/>
            </w14:solidFill>
          </w14:textFill>
        </w:rPr>
        <w:t>询比采购公告</w:t>
      </w:r>
    </w:p>
    <w:p>
      <w:pPr>
        <w:keepNext w:val="0"/>
        <w:keepLines w:val="0"/>
        <w:pageBreakBefore w:val="0"/>
        <w:widowControl/>
        <w:shd w:val="clear" w:color="auto" w:fill="FFFFFF"/>
        <w:kinsoku/>
        <w:overflowPunct/>
        <w:topLinePunct w:val="0"/>
        <w:bidi w:val="0"/>
        <w:snapToGrid/>
        <w:spacing w:line="360" w:lineRule="auto"/>
        <w:jc w:val="center"/>
        <w:textAlignment w:val="auto"/>
        <w:outlineLvl w:val="0"/>
        <w:rPr>
          <w:rFonts w:hint="eastAsia" w:ascii="仿宋" w:hAnsi="仿宋" w:eastAsia="仿宋" w:cs="仿宋"/>
          <w:color w:val="000000" w:themeColor="text1"/>
          <w:kern w:val="0"/>
          <w:sz w:val="32"/>
          <w:szCs w:val="32"/>
          <w:highlight w:val="none"/>
          <w:lang w:eastAsia="zh-CN"/>
          <w14:textFill>
            <w14:solidFill>
              <w14:schemeClr w14:val="tx1"/>
            </w14:solidFill>
          </w14:textFill>
        </w:rPr>
      </w:pP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自贡公交集团有限责任公司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G348公交站台亮化电线穿管工程项目已具备采购条件，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请供应商参加询比采购活动。</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1.采购项目简介</w:t>
      </w:r>
    </w:p>
    <w:p>
      <w:pPr>
        <w:keepNext w:val="0"/>
        <w:keepLines w:val="0"/>
        <w:pageBreakBefore w:val="0"/>
        <w:widowControl/>
        <w:numPr>
          <w:ilvl w:val="0"/>
          <w:numId w:val="0"/>
        </w:numPr>
        <w:shd w:val="clear" w:color="auto" w:fill="FFFFFF"/>
        <w:kinsoku/>
        <w:overflowPunct/>
        <w:topLinePunct w:val="0"/>
        <w:bidi w:val="0"/>
        <w:snapToGrid/>
        <w:spacing w:line="360" w:lineRule="auto"/>
        <w:ind w:firstLine="1280" w:firstLineChars="4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 采购项目名称：自贡市公交集团G348市区段公交站台亮化线路穿管工程。编号：ZGGJCG2023-018B</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 采购人：自贡市公交集团有限责任公司</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 采购项目概况</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对G348沿线自贡市区段（长土至梁家坝立交桥）沿线建设的公交站候车亭搭电亮化。现寻求供应商对已预埋有穿线管，具备穿线敷设条件的候车亭实施穿线通电。</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 采购范围及相关要求</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2.1采购范围</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本项目涉及的主要材料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电缆、断路器、计时器等由采购人提供，其他其他施工耗材及工时费由供应商承担。</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 采购要求</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详见附件1采购需求</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 最高限价：</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本项目实行敷设单价最高限价。敷设线路（含相关连接等）每米含税单价不超过3.5元/米。</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 供应商资格及要求</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3.1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具有独立法人资格。具有并提供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有效的工商营业执照及资质证书复印件；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提供</w:t>
      </w: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法人授权委托书、委托人身份证复印件；</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响应采购人提出的公平竞争承诺要求；</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 响应采购人提出的廉洁合作商承诺要求；</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3.4响应采购人提出的商务合作要求。</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4.采购文件获取。</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本采购公告在自贡公交网上公开发布，供应商可登录自贡公交网在采购公告页自行下载。</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5.响应文件的递交</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5.1 响应文件递交的截止时间为</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20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:00时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地点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14:textFill>
            <w14:solidFill>
              <w14:schemeClr w14:val="tx1"/>
            </w14:solidFill>
          </w14:textFill>
        </w:rPr>
        <w:t>自贡市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自流井区光大街195号，自贡客车厂会议厅</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5.2 逾期送达的、未送达指定地点的或未密封的响应文件，采购人将拒绝接收。</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6.响应文件开启时间和地点</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7.联系方式</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  玻</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电话：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18281321002</w:t>
      </w: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shd w:val="clear" w:color="auto" w:fill="FFFFFF"/>
        <w:kinsoku/>
        <w:overflowPunct/>
        <w:topLinePunct w:val="0"/>
        <w:bidi w:val="0"/>
        <w:snapToGrid/>
        <w:spacing w:line="360" w:lineRule="auto"/>
        <w:ind w:firstLine="56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第二章  供应商须知</w:t>
      </w:r>
      <w:bookmarkStart w:id="0" w:name="_GoBack"/>
      <w:bookmarkEnd w:id="0"/>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 总则</w:t>
      </w:r>
    </w:p>
    <w:p>
      <w:pPr>
        <w:keepNext w:val="0"/>
        <w:keepLines w:val="0"/>
        <w:pageBreakBefore w:val="0"/>
        <w:kinsoku/>
        <w:overflowPunct/>
        <w:topLinePunct w:val="0"/>
        <w:bidi w:val="0"/>
        <w:snapToGrid/>
        <w:spacing w:line="360" w:lineRule="auto"/>
        <w:ind w:firstLine="56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 总则</w:t>
      </w:r>
    </w:p>
    <w:p>
      <w:pPr>
        <w:keepNext w:val="0"/>
        <w:keepLines w:val="0"/>
        <w:pageBreakBefore w:val="0"/>
        <w:kinsoku/>
        <w:overflowPunct/>
        <w:topLinePunct w:val="0"/>
        <w:bidi w:val="0"/>
        <w:snapToGrid/>
        <w:spacing w:line="360" w:lineRule="auto"/>
        <w:ind w:firstLine="56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本项目采购采用询比采购方式。</w:t>
      </w:r>
    </w:p>
    <w:p>
      <w:pPr>
        <w:keepNext w:val="0"/>
        <w:keepLines w:val="0"/>
        <w:pageBreakBefore w:val="0"/>
        <w:kinsoku/>
        <w:overflowPunct/>
        <w:topLinePunct w:val="0"/>
        <w:bidi w:val="0"/>
        <w:snapToGrid/>
        <w:spacing w:line="360" w:lineRule="auto"/>
        <w:ind w:firstLine="56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 采购项目概况和供应商资格要求</w:t>
      </w:r>
    </w:p>
    <w:p>
      <w:pPr>
        <w:keepNext w:val="0"/>
        <w:keepLines w:val="0"/>
        <w:pageBreakBefore w:val="0"/>
        <w:kinsoku/>
        <w:overflowPunct/>
        <w:topLinePunct w:val="0"/>
        <w:bidi w:val="0"/>
        <w:snapToGrid/>
        <w:spacing w:line="360" w:lineRule="auto"/>
        <w:ind w:firstLine="56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见第一章采购公告。</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 费用承担</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供应商准备和参加此次询比采购活动所产生的各种费用由供应商自行承担。</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 踏勘现场</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供应商自行踏勘现场，采购人不组织踏勘活动。</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  采购需求</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2.1项目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施工内容：沿国道G348沿线的预埋管道，将公交站台亮化电缆线由市政配电箱铺设到公交站台灯箱电源，并接通两端电源。</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2.2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施工范围：国道G348沿线1至35号公交站台，共计68座，预计长度30000米，以实际验收铺设距离为准。站台分布见图1、图2、图3、图4。</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5628005" cy="2880360"/>
            <wp:effectExtent l="0" t="0" r="10795" b="15240"/>
            <wp:docPr id="1" name="图片 1" descr="169501926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5019266769"/>
                    <pic:cNvPicPr>
                      <a:picLocks noChangeAspect="1"/>
                    </pic:cNvPicPr>
                  </pic:nvPicPr>
                  <pic:blipFill>
                    <a:blip r:embed="rId4"/>
                    <a:stretch>
                      <a:fillRect/>
                    </a:stretch>
                  </pic:blipFill>
                  <pic:spPr>
                    <a:xfrm>
                      <a:off x="0" y="0"/>
                      <a:ext cx="5628005" cy="2880360"/>
                    </a:xfrm>
                    <a:prstGeom prst="rect">
                      <a:avLst/>
                    </a:prstGeom>
                  </pic:spPr>
                </pic:pic>
              </a:graphicData>
            </a:graphic>
          </wp:inline>
        </w:drawing>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（图1）</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5623560" cy="2443480"/>
            <wp:effectExtent l="0" t="0" r="15240" b="13970"/>
            <wp:docPr id="4" name="图片 4" descr="169501945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5019454519"/>
                    <pic:cNvPicPr>
                      <a:picLocks noChangeAspect="1"/>
                    </pic:cNvPicPr>
                  </pic:nvPicPr>
                  <pic:blipFill>
                    <a:blip r:embed="rId5"/>
                    <a:stretch>
                      <a:fillRect/>
                    </a:stretch>
                  </pic:blipFill>
                  <pic:spPr>
                    <a:xfrm>
                      <a:off x="0" y="0"/>
                      <a:ext cx="5623560" cy="2443480"/>
                    </a:xfrm>
                    <a:prstGeom prst="rect">
                      <a:avLst/>
                    </a:prstGeom>
                  </pic:spPr>
                </pic:pic>
              </a:graphicData>
            </a:graphic>
          </wp:inline>
        </w:drawing>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（图2）</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5623560" cy="3529330"/>
            <wp:effectExtent l="0" t="0" r="15240" b="13970"/>
            <wp:docPr id="5" name="图片 5" descr="169501990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95019907040"/>
                    <pic:cNvPicPr>
                      <a:picLocks noChangeAspect="1"/>
                    </pic:cNvPicPr>
                  </pic:nvPicPr>
                  <pic:blipFill>
                    <a:blip r:embed="rId6"/>
                    <a:stretch>
                      <a:fillRect/>
                    </a:stretch>
                  </pic:blipFill>
                  <pic:spPr>
                    <a:xfrm>
                      <a:off x="0" y="0"/>
                      <a:ext cx="5623560" cy="3529330"/>
                    </a:xfrm>
                    <a:prstGeom prst="rect">
                      <a:avLst/>
                    </a:prstGeom>
                  </pic:spPr>
                </pic:pic>
              </a:graphicData>
            </a:graphic>
          </wp:inline>
        </w:drawing>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（图3）</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5623560" cy="3529330"/>
            <wp:effectExtent l="0" t="0" r="15240" b="13970"/>
            <wp:docPr id="6" name="图片 6" descr="169502025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5020258026"/>
                    <pic:cNvPicPr>
                      <a:picLocks noChangeAspect="1"/>
                    </pic:cNvPicPr>
                  </pic:nvPicPr>
                  <pic:blipFill>
                    <a:blip r:embed="rId7"/>
                    <a:stretch>
                      <a:fillRect/>
                    </a:stretch>
                  </pic:blipFill>
                  <pic:spPr>
                    <a:xfrm>
                      <a:off x="0" y="0"/>
                      <a:ext cx="5623560" cy="3529330"/>
                    </a:xfrm>
                    <a:prstGeom prst="rect">
                      <a:avLst/>
                    </a:prstGeom>
                  </pic:spPr>
                </pic:pic>
              </a:graphicData>
            </a:graphic>
          </wp:inline>
        </w:drawing>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（图4）</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 技术要求：铺设电缆规格为YJV2*2.5mm²，采用分段并联的方式，随公交站台布线预留管道铺设。以市政配电箱为参考点，两侧公交站台及跨公路对侧站台分别布线，并单独连接电源。同侧多个站台采取并联方式，使用同一个电源。跨越公路的站台不大于3座时，公路对侧站台全部并联到一组电源上。</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5624195" cy="3465195"/>
            <wp:effectExtent l="0" t="0" r="14605" b="1905"/>
            <wp:docPr id="2" name="图片 2" descr="169632840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6328400214"/>
                    <pic:cNvPicPr>
                      <a:picLocks noChangeAspect="1"/>
                    </pic:cNvPicPr>
                  </pic:nvPicPr>
                  <pic:blipFill>
                    <a:blip r:embed="rId8"/>
                    <a:stretch>
                      <a:fillRect/>
                    </a:stretch>
                  </pic:blipFill>
                  <pic:spPr>
                    <a:xfrm>
                      <a:off x="0" y="0"/>
                      <a:ext cx="5624195" cy="3465195"/>
                    </a:xfrm>
                    <a:prstGeom prst="rect">
                      <a:avLst/>
                    </a:prstGeom>
                  </pic:spPr>
                </pic:pic>
              </a:graphicData>
            </a:graphic>
          </wp:inline>
        </w:drawing>
      </w:r>
    </w:p>
    <w:p>
      <w:pPr>
        <w:keepNext w:val="0"/>
        <w:keepLines w:val="0"/>
        <w:pageBreakBefore w:val="0"/>
        <w:numPr>
          <w:ilvl w:val="0"/>
          <w:numId w:val="0"/>
        </w:numPr>
        <w:kinsoku/>
        <w:overflowPunct/>
        <w:topLinePunct w:val="0"/>
        <w:bidi w:val="0"/>
        <w:snapToGrid/>
        <w:spacing w:line="360" w:lineRule="auto"/>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示例图</w:t>
      </w:r>
    </w:p>
    <w:p>
      <w:pPr>
        <w:keepNext w:val="0"/>
        <w:keepLines w:val="0"/>
        <w:pageBreakBefore w:val="0"/>
        <w:numPr>
          <w:ilvl w:val="0"/>
          <w:numId w:val="0"/>
        </w:numPr>
        <w:kinsoku/>
        <w:overflowPunct/>
        <w:topLinePunct w:val="0"/>
        <w:bidi w:val="0"/>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电缆接线应牢固可靠，并线点使用C型铜接线夹，使用锡焊焊牢。绝缘层不得损坏、裸露，接线点以自粘型橡胶带或热伸缩型塑料管等防水、绝缘材料补充绝缘保护层，各支路绝缘用1000v绝缘表测量绝缘值不低于1MΩ。配电箱穿孔、站台穿穿使用黄腊管保护电缆。通电后，记录各支路终端电压。其他施工工艺按照电缆线施工国家标准执行。</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2.4 供应商在敷设前应进行作业现场踏勘，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如因采购人提供的线路敷设条件不够造成电缆铺设无法继续进行的，供应商应及时通知采购人，经采购人同意后，该支路停止铺设。</w:t>
      </w:r>
    </w:p>
    <w:p>
      <w:pPr>
        <w:keepNext w:val="0"/>
        <w:keepLines w:val="0"/>
        <w:pageBreakBefore w:val="0"/>
        <w:numPr>
          <w:ilvl w:val="0"/>
          <w:numId w:val="0"/>
        </w:numPr>
        <w:kinsoku/>
        <w:overflowPunct/>
        <w:topLinePunct w:val="0"/>
        <w:bidi w:val="0"/>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如供应商未有效踏勘，致使敷设线路无法正常敷设到位，供应商应设法完成敷设。如供应商仍无法敷设到位，采购人将拒绝该段敷设工程量的验收。</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2.5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工期要求：自正式开工之日起，30日内完成。如遇非供应商或不可抗力原因造成工期延误，供应商需向采购人提出申请，延期时间由双方协商决定。</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 竣工验收：供应商在完成阶段施工后3日内，完善验收资料，报采购人验收。验收资料包括各回路绝缘阻值、终端电压、灯箱通电亮灯照片、并线点接线过程和最终效果照片。</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2.7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质量保障：本项目自竣工验收合格起，质保1年，质保期内，由施工方原因造成的质量问题，由施工方负责修复。如造成采购人的损失，由供应商赔偿。</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2.8结算方式：以实际竣工验收项目量乘以单价确定合同总价，竣工验收后10日内，支付全额合同款的95%，余款在质保期满1年后15日内支付。</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 响应文件</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 响应文件的组成</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3.1.1 响应文件装订顺序及内容要求</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（1）封面；</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（2）供应商有效的营业执照；</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（3）法定代表人（或负责人）身份证复印件或委托授权书及授权人、代理人身份证复印件；</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（4）响应承诺函（格式见附件1）</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（5）公平竞争承诺书（格式见附件2）</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（6）施工方案（满足采购要求）</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（7）报价表（格式见附件3 单独密封封装）</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 报价</w:t>
      </w:r>
    </w:p>
    <w:p>
      <w:pPr>
        <w:keepNext w:val="0"/>
        <w:keepLines w:val="0"/>
        <w:pageBreakBefore w:val="0"/>
        <w:numPr>
          <w:ilvl w:val="0"/>
          <w:numId w:val="0"/>
        </w:numPr>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供应商应按附件3规定的格式和内容在规定的最高限价内进行报价。</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4.响应文件的递交</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4.1 响应文件的包装与标记</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响应文件应密封包装，未密封的响应文件，采购人将拒绝接收。</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4.2 响应文件的递交</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供应商应在采购公告规定的递交响应文件的截止时间前，将响应文件递交到规定的地点。逾期未送达或未送达到指定地点的响应文件，采购人将拒绝接收。</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4.3 响应文件的修改与撤回</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在规定的递交截止时间前，供应商可以修改或撤回已递交的响应文件，但应以书面形式通知采购人。</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5.开启响应文件</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 评审</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6.1 评审小组</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评审由采购人组建的评审小组负责，评审小组成员存在法规规定的回避情形时应主动回避。</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6.2 评审  </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评审方法：经评审的最低价法进行价格评审。</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（1）资格评审。评审小组按照采购文件要求对响应供应商的资格条件进行评审，通过资格评审的供应商可参加价格评审。</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（2）价格评审。对完全响应采购文件要求的供应商的报价按除税单价从低到高的顺序作为推荐成交供应商的顺序。</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6.3 特殊情形处理</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6.3.1 递交响应文件的供应商或实质性响应的供应商低于2家的，采购人可按下述情形进行处理：</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（1）终止询比并重新组织采购。</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（2）将该询比采购直接转为商务合作采购。</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 合同授予</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7.1 确定候选成交供应商顺序</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人将根据评审报告，对候选成交供应商综合评估后选择确定候选成交供应商顺序。采购人按规定对候选成交供应商顺序在采购公告发布的网站上进行公示。公示期结束后排名第一的候选成交供应商成为成交供应商。</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7.2 签订合同</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采购人和成交供应商在5日内签订合同。</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7.3 合同（式样）见附件4.</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供应商响应承诺函</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附件2：公平竞争承诺书</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附件3：报价表</w:t>
      </w:r>
    </w:p>
    <w:p>
      <w:pPr>
        <w:keepNext w:val="0"/>
        <w:keepLines w:val="0"/>
        <w:pageBreakBefore w:val="0"/>
        <w:kinsoku/>
        <w:wordWrap w:val="0"/>
        <w:overflowPunct/>
        <w:topLinePunct w:val="0"/>
        <w:bidi w:val="0"/>
        <w:snapToGrid/>
        <w:spacing w:line="360" w:lineRule="auto"/>
        <w:ind w:firstLine="640" w:firstLineChars="200"/>
        <w:jc w:val="both"/>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t>合同（式样）</w:t>
      </w:r>
    </w:p>
    <w:p>
      <w:pPr>
        <w:keepNext w:val="0"/>
        <w:keepLines w:val="0"/>
        <w:pageBreakBefore w:val="0"/>
        <w:kinsoku/>
        <w:overflowPunct/>
        <w:topLinePunct w:val="0"/>
        <w:bidi w:val="0"/>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keepNext w:val="0"/>
        <w:keepLines w:val="0"/>
        <w:pageBreakBefore w:val="0"/>
        <w:kinsoku/>
        <w:overflowPunct/>
        <w:topLinePunct w:val="0"/>
        <w:bidi w:val="0"/>
        <w:snapToGrid/>
        <w:spacing w:line="360" w:lineRule="auto"/>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附件1：</w:t>
      </w:r>
    </w:p>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outlineLvl w:val="9"/>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供应商</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响应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承诺</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函</w:t>
      </w:r>
    </w:p>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outlineLvl w:val="9"/>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自贡市公交集团有限责任公司：</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根据贵公司提供的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国道G348沿线公交站台亮化项目</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询比文件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相关资料信息，经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我方</w:t>
      </w:r>
      <w:r>
        <w:rPr>
          <w:rFonts w:hint="eastAsia" w:ascii="仿宋_GB2312" w:hAnsi="仿宋_GB2312" w:eastAsia="仿宋_GB2312" w:cs="仿宋_GB2312"/>
          <w:color w:val="000000" w:themeColor="text1"/>
          <w:sz w:val="32"/>
          <w:szCs w:val="32"/>
          <w:highlight w:val="none"/>
          <w14:textFill>
            <w14:solidFill>
              <w14:schemeClr w14:val="tx1"/>
            </w14:solidFill>
          </w14:textFill>
        </w:rPr>
        <w:t>认真分析研究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我方特承诺如下：</w:t>
      </w:r>
    </w:p>
    <w:p>
      <w:pPr>
        <w:keepNext w:val="0"/>
        <w:keepLines w:val="0"/>
        <w:pageBreakBefore w:val="0"/>
        <w:widowControl w:val="0"/>
        <w:kinsoku/>
        <w:wordWrap/>
        <w:overflowPunct/>
        <w:topLinePunct w:val="0"/>
        <w:bidi w:val="0"/>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1、我方已详细研究了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国道G348沿线公交站台亮化项目采购</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询比</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文件的全部内容，并自愿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接</w:t>
      </w:r>
      <w:r>
        <w:rPr>
          <w:rFonts w:hint="eastAsia" w:ascii="仿宋_GB2312" w:hAnsi="仿宋_GB2312" w:eastAsia="仿宋_GB2312" w:cs="仿宋_GB2312"/>
          <w:color w:val="000000" w:themeColor="text1"/>
          <w:sz w:val="32"/>
          <w:szCs w:val="32"/>
          <w:highlight w:val="none"/>
          <w14:textFill>
            <w14:solidFill>
              <w14:schemeClr w14:val="tx1"/>
            </w14:solidFill>
          </w14:textFill>
        </w:rPr>
        <w:t>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全部</w:t>
      </w:r>
      <w:r>
        <w:rPr>
          <w:rFonts w:hint="eastAsia" w:ascii="仿宋_GB2312" w:hAnsi="仿宋_GB2312" w:eastAsia="仿宋_GB2312" w:cs="仿宋_GB2312"/>
          <w:color w:val="000000" w:themeColor="text1"/>
          <w:sz w:val="32"/>
          <w:szCs w:val="32"/>
          <w:highlight w:val="none"/>
          <w14:textFill>
            <w14:solidFill>
              <w14:schemeClr w14:val="tx1"/>
            </w14:solidFill>
          </w14:textFill>
        </w:rPr>
        <w:t>内容要求。</w:t>
      </w:r>
    </w:p>
    <w:p>
      <w:pPr>
        <w:keepNext w:val="0"/>
        <w:keepLines w:val="0"/>
        <w:pageBreakBefore w:val="0"/>
        <w:widowControl w:val="0"/>
        <w:kinsoku/>
        <w:wordWrap/>
        <w:overflowPunct/>
        <w:topLinePunct w:val="0"/>
        <w:bidi w:val="0"/>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2、我方自愿参与</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询比采购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活动，接受采购人的评选及结果，产生的一切费用自行负责；</w:t>
      </w:r>
    </w:p>
    <w:p>
      <w:pPr>
        <w:keepNext w:val="0"/>
        <w:keepLines w:val="0"/>
        <w:pageBreakBefore w:val="0"/>
        <w:widowControl w:val="0"/>
        <w:kinsoku/>
        <w:wordWrap/>
        <w:overflowPunct/>
        <w:topLinePunct w:val="0"/>
        <w:bidi w:val="0"/>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3、我方对所提供的所有信息负责，确保每项过程验收资料，在验收合格后3个工作日内提交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备案。</w:t>
      </w:r>
    </w:p>
    <w:p>
      <w:pPr>
        <w:keepNext w:val="0"/>
        <w:keepLines w:val="0"/>
        <w:pageBreakBefore w:val="0"/>
        <w:widowControl w:val="0"/>
        <w:kinsoku/>
        <w:wordWrap/>
        <w:overflowPunct/>
        <w:topLinePunct w:val="0"/>
        <w:bidi w:val="0"/>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4、一旦我方中选，我方将严格按施工合同约定完成建设任务并承担相应的责任。</w:t>
      </w: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供应商（盖章）：                                    </w:t>
      </w: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单位地址：                                         </w:t>
      </w: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w:t>
      </w:r>
      <w:r>
        <w:rPr>
          <w:rFonts w:hint="eastAsia" w:ascii="仿宋_GB2312" w:hAnsi="仿宋_GB2312" w:eastAsia="仿宋_GB2312" w:cs="仿宋_GB2312"/>
          <w:color w:val="000000" w:themeColor="text1"/>
          <w:sz w:val="32"/>
          <w:szCs w:val="32"/>
          <w:highlight w:val="none"/>
          <w14:textFill>
            <w14:solidFill>
              <w14:schemeClr w14:val="tx1"/>
            </w14:solidFill>
          </w14:textFill>
        </w:rPr>
        <w:t>代表人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签字</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联系电话：                  </w:t>
      </w:r>
    </w:p>
    <w:p>
      <w:pPr>
        <w:keepNext w:val="0"/>
        <w:keepLines w:val="0"/>
        <w:pageBreakBefore w:val="0"/>
        <w:widowControl w:val="0"/>
        <w:kinsoku/>
        <w:wordWrap/>
        <w:overflowPunct/>
        <w:topLinePunct w:val="0"/>
        <w:bidi w:val="0"/>
        <w:snapToGrid/>
        <w:spacing w:line="240" w:lineRule="auto"/>
        <w:ind w:left="0" w:leftChars="0" w:right="0" w:rightChars="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      年    月    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br w:type="page"/>
      </w:r>
      <w:r>
        <w:rPr>
          <w:rFonts w:hint="eastAsia" w:ascii="仿宋_GB2312" w:hAnsi="仿宋_GB2312" w:eastAsia="仿宋_GB2312" w:cs="仿宋_GB2312"/>
          <w:bCs/>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widowControl/>
        <w:ind w:firstLine="562" w:firstLineChars="200"/>
        <w:jc w:val="center"/>
        <w:rPr>
          <w:rFonts w:hint="eastAsia" w:ascii="仿宋_GB2312" w:eastAsia="仿宋_GB2312" w:cs="仿宋_GB2312"/>
          <w:b/>
          <w:color w:val="000000" w:themeColor="text1"/>
          <w:sz w:val="28"/>
          <w:szCs w:val="28"/>
          <w:highlight w:val="none"/>
          <w14:textFill>
            <w14:solidFill>
              <w14:schemeClr w14:val="tx1"/>
            </w14:solidFill>
          </w14:textFill>
        </w:rPr>
      </w:pPr>
      <w:r>
        <w:rPr>
          <w:rFonts w:hint="eastAsia" w:ascii="仿宋_GB2312" w:eastAsia="仿宋_GB2312" w:cs="仿宋_GB2312"/>
          <w:b/>
          <w:color w:val="000000" w:themeColor="text1"/>
          <w:sz w:val="28"/>
          <w:szCs w:val="28"/>
          <w:highlight w:val="none"/>
          <w14:textFill>
            <w14:solidFill>
              <w14:schemeClr w14:val="tx1"/>
            </w14:solidFill>
          </w14:textFill>
        </w:rPr>
        <w:t>公平竞争承诺书</w:t>
      </w:r>
    </w:p>
    <w:p>
      <w:pPr>
        <w:rPr>
          <w:rFonts w:hint="eastAsia" w:ascii="仿宋_GB2312" w:eastAsia="仿宋_GB2312" w:cs="仿宋_GB2312"/>
          <w:color w:val="000000" w:themeColor="text1"/>
          <w:sz w:val="28"/>
          <w:szCs w:val="28"/>
          <w:highlight w:val="none"/>
          <w14:textFill>
            <w14:solidFill>
              <w14:schemeClr w14:val="tx1"/>
            </w14:solidFill>
          </w14:textFill>
        </w:rPr>
      </w:pPr>
    </w:p>
    <w:p>
      <w:pPr>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致：自贡市公交集团有限责任公司</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本公司自愿参加贵公司组织的</w:t>
      </w:r>
      <w:r>
        <w:rPr>
          <w:rFonts w:hint="eastAsia" w:ascii="仿宋_GB2312" w:eastAsia="仿宋_GB2312" w:cs="仿宋_GB2312"/>
          <w:color w:val="000000" w:themeColor="text1"/>
          <w:sz w:val="28"/>
          <w:szCs w:val="28"/>
          <w:highlight w:val="none"/>
          <w:lang w:eastAsia="zh-CN"/>
          <w14:textFill>
            <w14:solidFill>
              <w14:schemeClr w14:val="tx1"/>
            </w14:solidFill>
          </w14:textFill>
        </w:rPr>
        <w:t>询比</w:t>
      </w:r>
      <w:r>
        <w:rPr>
          <w:rFonts w:hint="eastAsia" w:ascii="仿宋_GB2312" w:eastAsia="仿宋_GB2312" w:cs="仿宋_GB2312"/>
          <w:color w:val="000000" w:themeColor="text1"/>
          <w:sz w:val="28"/>
          <w:szCs w:val="28"/>
          <w:highlight w:val="none"/>
          <w14:textFill>
            <w14:solidFill>
              <w14:schemeClr w14:val="tx1"/>
            </w14:solidFill>
          </w14:textFill>
        </w:rPr>
        <w:t>采购项目活动。为杜绝商业贿赂现象，维护良好管理秩序，共同营造公平、公正的竞争环境，我司郑重承诺：</w:t>
      </w:r>
    </w:p>
    <w:p>
      <w:pPr>
        <w:tabs>
          <w:tab w:val="left" w:pos="3075"/>
        </w:tabs>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1、我方已详细审核全部项目文件并自愿接受相应内容要求。</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2、我方同意遵守相关规则，认同程序及时间安排，接受</w:t>
      </w:r>
      <w:r>
        <w:rPr>
          <w:rFonts w:hint="eastAsia" w:ascii="仿宋_GB2312" w:eastAsia="仿宋_GB2312" w:cs="仿宋_GB2312"/>
          <w:color w:val="000000" w:themeColor="text1"/>
          <w:sz w:val="28"/>
          <w:szCs w:val="28"/>
          <w:highlight w:val="none"/>
          <w:lang w:eastAsia="zh-CN"/>
          <w14:textFill>
            <w14:solidFill>
              <w14:schemeClr w14:val="tx1"/>
            </w14:solidFill>
          </w14:textFill>
        </w:rPr>
        <w:t>询比</w:t>
      </w:r>
      <w:r>
        <w:rPr>
          <w:rFonts w:hint="eastAsia" w:ascii="仿宋_GB2312" w:eastAsia="仿宋_GB2312" w:cs="仿宋_GB2312"/>
          <w:color w:val="000000" w:themeColor="text1"/>
          <w:sz w:val="28"/>
          <w:szCs w:val="28"/>
          <w:highlight w:val="none"/>
          <w14:textFill>
            <w14:solidFill>
              <w14:schemeClr w14:val="tx1"/>
            </w14:solidFill>
          </w14:textFill>
        </w:rPr>
        <w:t>评审结果，其参与产生的一切费用自行负责。</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3、我方保证所提交的响应文件中相关资料与描述真实有效，对所提供的所有信息负责。</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4、一旦我方确定为成交供应商，我方承诺在规定时间内签定合同，严格按采购合同约定按时交付货物，并承担相应的责任。</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5、坚持独立性，保证不以任何手段了解或意图了解其他参与人情况及其报价信息。</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6、保证不私下接触贵司负责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询比</w:t>
      </w:r>
      <w:r>
        <w:rPr>
          <w:rFonts w:hint="eastAsia" w:ascii="仿宋_GB2312" w:eastAsia="仿宋_GB2312" w:cs="仿宋_GB2312"/>
          <w:color w:val="000000" w:themeColor="text1"/>
          <w:sz w:val="28"/>
          <w:szCs w:val="28"/>
          <w:highlight w:val="none"/>
          <w14:textFill>
            <w14:solidFill>
              <w14:schemeClr w14:val="tx1"/>
            </w14:solidFill>
          </w14:textFill>
        </w:rPr>
        <w:t>采购组织工作的人员及相关领导，不进行宴请、招待，或赠送及承诺赠送礼金、礼品、礼券、其他利益。</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7、除从自贵司公开渠道获取相关信息外，保证不以其它方式刺探或意图刺探贵司</w:t>
      </w:r>
      <w:r>
        <w:rPr>
          <w:rFonts w:hint="eastAsia" w:ascii="仿宋_GB2312" w:eastAsia="仿宋_GB2312" w:cs="仿宋_GB2312"/>
          <w:color w:val="000000" w:themeColor="text1"/>
          <w:sz w:val="28"/>
          <w:szCs w:val="28"/>
          <w:highlight w:val="none"/>
          <w:lang w:eastAsia="zh-CN"/>
          <w14:textFill>
            <w14:solidFill>
              <w14:schemeClr w14:val="tx1"/>
            </w14:solidFill>
          </w14:textFill>
        </w:rPr>
        <w:t>询比</w:t>
      </w:r>
      <w:r>
        <w:rPr>
          <w:rFonts w:hint="eastAsia" w:ascii="仿宋_GB2312" w:eastAsia="仿宋_GB2312" w:cs="仿宋_GB2312"/>
          <w:color w:val="000000" w:themeColor="text1"/>
          <w:sz w:val="28"/>
          <w:szCs w:val="28"/>
          <w:highlight w:val="none"/>
          <w14:textFill>
            <w14:solidFill>
              <w14:schemeClr w14:val="tx1"/>
            </w14:solidFill>
          </w14:textFill>
        </w:rPr>
        <w:t>采购项目相关信息及其进展。</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8、保证采取内部约束措施，禁止具体经办人或其他相关人员私自实施前述各项禁止性行为，并对其违规后果承担连带责任。</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9、如出现违反上述各项承诺情况，自愿接受贵司取消资格、没收保证金、解除合同等处罚措施，并对贵司因此所受损失进行全额赔偿。</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10、如贵司负责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询比</w:t>
      </w:r>
      <w:r>
        <w:rPr>
          <w:rFonts w:hint="eastAsia" w:ascii="仿宋_GB2312" w:eastAsia="仿宋_GB2312" w:cs="仿宋_GB2312"/>
          <w:color w:val="000000" w:themeColor="text1"/>
          <w:sz w:val="28"/>
          <w:szCs w:val="28"/>
          <w:highlight w:val="none"/>
          <w14:textFill>
            <w14:solidFill>
              <w14:schemeClr w14:val="tx1"/>
            </w14:solidFill>
          </w14:textFill>
        </w:rPr>
        <w:t>采购项目组织工作的人员及相关领导，明示或暗示要求宴请、招待，或索取礼金、礼品、礼券、其他利益，或故意刁难、显失公平的，保证立即向贵司监察部门进行举报。</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特此承诺</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承诺单位：</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法定代表人：</w:t>
      </w: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pPr>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 xml:space="preserve"> </w:t>
      </w:r>
    </w:p>
    <w:p>
      <w:pPr>
        <w:ind w:firstLine="560" w:firstLineChars="200"/>
        <w:jc w:val="center"/>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 xml:space="preserve">                              </w:t>
      </w:r>
    </w:p>
    <w:p>
      <w:pPr>
        <w:ind w:firstLine="560" w:firstLineChars="200"/>
        <w:jc w:val="right"/>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 xml:space="preserve">            年    月     日 </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560" w:firstLineChars="20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519" w:bottom="1440" w:left="1519" w:header="851" w:footer="992" w:gutter="0"/>
          <w:pgBorders w:offsetFrom="page">
            <w:top w:val="none" w:sz="0" w:space="0"/>
            <w:left w:val="none" w:sz="0" w:space="0"/>
            <w:bottom w:val="none" w:sz="0" w:space="0"/>
            <w:right w:val="none" w:sz="0" w:space="0"/>
          </w:pgBorders>
          <w:cols w:space="0" w:num="1"/>
          <w:rtlGutter w:val="0"/>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年    月    日</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b/>
          <w:i w:val="0"/>
          <w:color w:val="000000" w:themeColor="text1"/>
          <w:kern w:val="0"/>
          <w:sz w:val="44"/>
          <w:szCs w:val="44"/>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44"/>
          <w:szCs w:val="44"/>
          <w:highlight w:val="none"/>
          <w:u w:val="none"/>
          <w:lang w:val="en-US" w:eastAsia="zh-CN" w:bidi="ar"/>
          <w14:textFill>
            <w14:solidFill>
              <w14:schemeClr w14:val="tx1"/>
            </w14:solidFill>
          </w14:textFill>
        </w:rPr>
        <w:t>报  价  表</w:t>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tbl>
      <w:tblPr>
        <w:tblStyle w:val="7"/>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3"/>
        <w:gridCol w:w="2179"/>
        <w:gridCol w:w="1905"/>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30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 xml:space="preserve">采购项目 </w:t>
            </w:r>
          </w:p>
        </w:tc>
        <w:tc>
          <w:tcPr>
            <w:tcW w:w="5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项目报价  单价（元/米）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30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不含税金额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i w:val="0"/>
                <w:color w:val="000000" w:themeColor="text1"/>
                <w:sz w:val="32"/>
                <w:szCs w:val="32"/>
                <w:highlight w:val="none"/>
                <w:u w:val="none"/>
                <w:lang w:val="en-US" w:eastAsia="zh-CN"/>
                <w14:textFill>
                  <w14:solidFill>
                    <w14:schemeClr w14:val="tx1"/>
                  </w14:solidFill>
                </w14:textFill>
              </w:rPr>
              <w:t>税额</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价税合计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9"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G348公交站台亮化电线穿管工程</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r>
    </w:tbl>
    <w:p>
      <w:pPr>
        <w:keepNext w:val="0"/>
        <w:keepLines w:val="0"/>
        <w:pageBreakBefore w:val="0"/>
        <w:kinsoku/>
        <w:wordWrap w:val="0"/>
        <w:overflowPunct/>
        <w:topLinePunct w:val="0"/>
        <w:bidi w:val="0"/>
        <w:snapToGrid/>
        <w:spacing w:line="360" w:lineRule="auto"/>
        <w:jc w:val="both"/>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p>
      <w:pPr>
        <w:keepNext w:val="0"/>
        <w:keepLines w:val="0"/>
        <w:pageBreakBefore w:val="0"/>
        <w:kinsoku/>
        <w:wordWrap w:val="0"/>
        <w:overflowPunct/>
        <w:topLinePunct w:val="0"/>
        <w:bidi w:val="0"/>
        <w:snapToGrid/>
        <w:spacing w:line="360" w:lineRule="auto"/>
        <w:jc w:val="right"/>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p>
      <w:pPr>
        <w:keepNext w:val="0"/>
        <w:keepLines w:val="0"/>
        <w:pageBreakBefore w:val="0"/>
        <w:kinsoku/>
        <w:wordWrap w:val="0"/>
        <w:overflowPunct/>
        <w:topLinePunct w:val="0"/>
        <w:bidi w:val="0"/>
        <w:snapToGrid/>
        <w:spacing w:line="360" w:lineRule="auto"/>
        <w:jc w:val="right"/>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p>
    <w:p>
      <w:pPr>
        <w:keepNext w:val="0"/>
        <w:keepLines w:val="0"/>
        <w:pageBreakBefore w:val="0"/>
        <w:kinsoku/>
        <w:wordWrap w:val="0"/>
        <w:overflowPunct/>
        <w:topLinePunct w:val="0"/>
        <w:bidi w:val="0"/>
        <w:snapToGrid/>
        <w:spacing w:line="360" w:lineRule="auto"/>
        <w:jc w:val="right"/>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t xml:space="preserve">供应商：                     </w:t>
      </w:r>
    </w:p>
    <w:p>
      <w:pPr>
        <w:keepNext w:val="0"/>
        <w:keepLines w:val="0"/>
        <w:pageBreakBefore w:val="0"/>
        <w:kinsoku/>
        <w:wordWrap w:val="0"/>
        <w:overflowPunct/>
        <w:topLinePunct w:val="0"/>
        <w:bidi w:val="0"/>
        <w:snapToGrid/>
        <w:spacing w:line="360" w:lineRule="auto"/>
        <w:jc w:val="right"/>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t xml:space="preserve">法定代表人或授权代理人签字：                     </w:t>
      </w:r>
    </w:p>
    <w:p>
      <w:pPr>
        <w:keepNext w:val="0"/>
        <w:keepLines w:val="0"/>
        <w:pageBreakBefore w:val="0"/>
        <w:kinsoku/>
        <w:wordWrap w:val="0"/>
        <w:overflowPunct/>
        <w:topLinePunct w:val="0"/>
        <w:bidi w:val="0"/>
        <w:snapToGrid/>
        <w:spacing w:line="360" w:lineRule="auto"/>
        <w:jc w:val="right"/>
        <w:textAlignment w:val="auto"/>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t xml:space="preserve">日期：    年   月   日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560" w:firstLineChars="20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519" w:bottom="1440" w:left="1519" w:header="851" w:footer="992" w:gutter="0"/>
          <w:pgBorders w:offsetFrom="page">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6560" w:firstLineChars="20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合同（模板）</w:t>
      </w:r>
    </w:p>
    <w:p>
      <w:pPr>
        <w:pStyle w:val="2"/>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自贡市公交集团有限责任公司</w:t>
      </w:r>
    </w:p>
    <w:p>
      <w:pPr>
        <w:pStyle w:val="2"/>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G348沿线公交站台亮化电线穿管项目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合同</w:t>
      </w:r>
    </w:p>
    <w:p>
      <w:pPr>
        <w:pStyle w:val="6"/>
        <w:spacing w:before="0" w:beforeAutospacing="0" w:after="0" w:afterAutospacing="0" w:line="360" w:lineRule="atLeast"/>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甲</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方：</w:t>
      </w:r>
    </w:p>
    <w:p>
      <w:pPr>
        <w:adjustRightInd w:val="0"/>
        <w:snapToGrid w:val="0"/>
        <w:spacing w:line="360" w:lineRule="auto"/>
        <w:jc w:val="left"/>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乙</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方：</w:t>
      </w:r>
      <w:r>
        <w:rPr>
          <w:rStyle w:val="10"/>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合同</w:t>
      </w:r>
      <w:r>
        <w:rPr>
          <w:rFonts w:hint="eastAsia" w:ascii="仿宋_GB2312" w:hAnsi="仿宋_GB2312" w:eastAsia="仿宋_GB2312" w:cs="仿宋_GB2312"/>
          <w:b/>
          <w:color w:val="000000" w:themeColor="text1"/>
          <w:sz w:val="32"/>
          <w:szCs w:val="32"/>
          <w:highlight w:val="none"/>
          <w14:textFill>
            <w14:solidFill>
              <w14:schemeClr w14:val="tx1"/>
            </w14:solidFill>
          </w14:textFill>
        </w:rPr>
        <w:t>编号：_____________</w:t>
      </w:r>
    </w:p>
    <w:p>
      <w:pPr>
        <w:pStyle w:val="6"/>
        <w:spacing w:before="0" w:beforeAutospacing="0" w:after="0" w:afterAutospacing="0" w:line="360" w:lineRule="atLeas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根据《中华人民共和国民法典》及相关法律法规,，甲乙双方本着平等、自愿、诚实信用的原则，经友好协商，就乙方为甲方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提供国道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G348沿线公交站台电线穿管项目施工服务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，订立如下合同条款，以资共同遵守。</w:t>
      </w:r>
    </w:p>
    <w:p>
      <w:pPr>
        <w:pStyle w:val="6"/>
        <w:spacing w:before="0" w:beforeAutospacing="0" w:after="0" w:afterAutospacing="0" w:line="360" w:lineRule="atLeast"/>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第一条  服务内容</w:t>
      </w:r>
    </w:p>
    <w:p>
      <w:pP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项目名称：国道G348沿线公交站台亮化电线穿管项目</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施工地址及工程量：国道G348沿线，从沿滩梁家坝立交桥到贡井。具体工程量以甲方要求和实际完工验收测量为准。</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第二条  价款及支付方式</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1、合同价款</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每米施工不含税单价（</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元</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/米</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，含税单价为（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元</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/米</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最终结算金额为实际验收铺设距离乘以含税单价确定</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、付款方式</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结算金额确定后，乙方向甲方提供正规增值税专用发票（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增值税普通发票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），甲方按发票金额七日内一次性支付结算金额的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95%，余款在质保期1年后支付</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经甲方同意，因非乙方原因造成施工需长时间暂停延期的，甲乙双方可协商分两次验收，对已完成铺设距离进行竣工验收，并按付款条款进行付款。</w:t>
      </w:r>
    </w:p>
    <w:p>
      <w:pPr>
        <w:pStyle w:val="6"/>
        <w:spacing w:before="0" w:beforeAutospacing="0" w:after="0" w:afterAutospacing="0" w:line="360" w:lineRule="atLeast"/>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第三条 </w:t>
      </w: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施工要求</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施工内容及要求</w:t>
      </w:r>
    </w:p>
    <w:p>
      <w:pPr>
        <w:pStyle w:val="6"/>
        <w:spacing w:before="0" w:beforeAutospacing="0" w:after="0" w:afterAutospacing="0" w:line="360" w:lineRule="atLeast"/>
        <w:ind w:firstLine="320" w:firstLineChars="1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按照市政预埋管道，采取分段并联的方式，将甲方提供的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2.5YJV电缆，从市政配电箱铺设到公交站台预留灯箱电源。以市政配电箱为参考点，两侧公交站台及跨公路对侧站台分别布线，并单独连接电源。同侧多个站台采取并联方式，使用同一个电源。跨越公路的站台不大于3座时，公路对侧站台全部并联到一组电源上。</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（2）电缆接线应牢固可靠，并线点使用C型铜接线夹，使用锡焊焊牢。</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施工完成后，穿线管道应通畅。管道及电缆线应做好防水和绝缘保护。绝缘层不得损坏、裸露，接线点以自粘型橡胶带或热伸缩型塑料管等防水、绝缘材料补充绝缘保护层，配电箱穿孔、站台穿穿使用黄腊管保护电缆，各支路绝缘用1000v绝缘表测量绝缘值不低于1MΩ。</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（4）乙方按照甲方要求，设定好每个公交站台定时器启动和关闭时间。</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（5）对施工过程中损坏的地面由乙方按照市政要求进行恢复，甲方不在另行支付费用。如需确需大型土方作业方可继续铺设电缆的，经双方协商，签订补充协议。</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3、施工材料</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电缆、断路器、定时器等主要电器材料由甲方提供，乙方负责提供施工耗材。</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4、施工工期</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自正式开工之日起，30日内完成。如遇非乙方或不可抗力原因造成工期延误，乙方需向甲方提出申请，延期时间由双方协商决定。经甲方同意的延期，不构成违约责任。</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5、材料设备的搬运、运输及保管</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乙方负责此项目所需材料设备从客车厂到作业现场的搬运及运输工作。乙方应在搬运前，与甲方库管人员，确定材料的数量及规格，双方办理好材料交接手续，乙方负责已交接材料的保管责任，发生遗失、损坏的，由乙方负责赔偿。</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6、竣工验收</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供应商在完成阶段施工后3日内，形成验收资料，向甲方申请验收。验收资料包括各回路绝缘阻值、终端电压、灯箱通电亮灯照片、并线点接线过程和最终效果照片。甲方对接线工艺、电缆规格、绝缘阻值、终端电压、铺设距离等进行验收。验收后，甲方向乙方出具验收报告。</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7、文明、安全施工</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乙方根据电缆铺设方案制定详细的现场作业方案，并作好各项铺设准备工作，现场作业方案应有保障安全的作业规程和管理制度。乙方严格按国家及行业颁发的有关规范和技术标准组织文明施工、安全施工，确保施工质量和安全。</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（2）乙方因安排具备低压电工特种作业证的人员进行电工作业，操作前检查电源已断开。</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（3）施工期间，乙方应安全施工，防止安全事故的发生，如因乙方在操作过程中或因管理不善造成安全事故，其安全责任及费用由乙方承担。</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8、施工质量</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（1）甲方出具的验收报告为不合格的情况，由乙方负责整改，整改产生的费用由乙方负责。因甲方原因造成损失的，由乙方负责赔偿。</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（2）报自竣工验收合格起，质保1年，质保期内，由施工方原因造成的质量问题，由施工方负责修复。</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第</w:t>
      </w: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条  违约责任</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合同签订后，乙方应在签订后七日内开始施工作业。乙方在超过七日仍未开始施工作业时，甲方有权立即解除合同，并与其他施工方签订施工合同。</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应在约定期限内</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完成电缆的铺设施工。逾期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20天内，</w:t>
      </w:r>
      <w:r>
        <w:rPr>
          <w:rFonts w:hint="eastAsia" w:ascii="仿宋_GB2312" w:hAnsi="仿宋_GB2312" w:eastAsia="仿宋_GB2312" w:cs="仿宋_GB2312"/>
          <w:color w:val="000000" w:themeColor="text1"/>
          <w:sz w:val="32"/>
          <w:szCs w:val="32"/>
          <w:highlight w:val="none"/>
          <w14:textFill>
            <w14:solidFill>
              <w14:schemeClr w14:val="tx1"/>
            </w14:solidFill>
          </w14:textFill>
        </w:rPr>
        <w:t>每逾期一天，乙方应向甲方支付违约金即总价款的</w:t>
      </w:r>
      <w:r>
        <w:rPr>
          <w:rStyle w:val="22"/>
          <w:rFonts w:hint="eastAsia" w:ascii="仿宋_GB2312" w:hAnsi="仿宋_GB2312" w:eastAsia="仿宋_GB2312" w:cs="仿宋_GB2312"/>
          <w:color w:val="000000" w:themeColor="text1"/>
          <w:sz w:val="32"/>
          <w:szCs w:val="32"/>
          <w:highlight w:val="none"/>
          <w14:textFill>
            <w14:solidFill>
              <w14:schemeClr w14:val="tx1"/>
            </w14:solidFill>
          </w14:textFill>
        </w:rPr>
        <w:t>5</w:t>
      </w:r>
      <w:r>
        <w:rPr>
          <w:rStyle w:val="2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。逾期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超过</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天的，甲方有权单方面解除合同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，并要求乙方赔偿损失</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3"/>
        <w:shd w:val="clear" w:color="auto" w:fill="FFFFFF"/>
        <w:spacing w:before="0" w:beforeAutospacing="0" w:after="0" w:afterAutospacing="0" w:line="400" w:lineRule="atLeast"/>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、乙方应承诺在项目实施过程中严格按照招标文件以及甲方的要求开展工作，完全响应自己的响应文件内容，如在项目实施过程被甲方发现出现违规操作，不按规定执行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合同的情况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，甲方有权解除合同。</w:t>
      </w:r>
    </w:p>
    <w:p>
      <w:pPr>
        <w:pStyle w:val="23"/>
        <w:shd w:val="clear" w:color="auto" w:fill="FFFFFF"/>
        <w:spacing w:before="0" w:beforeAutospacing="0" w:after="0" w:afterAutospacing="0" w:line="400" w:lineRule="atLeast"/>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、本合同所称损失包括实际损失、诉讼或仲裁费用，以及合理的调查费、律师费等相关法律费用。</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第</w:t>
      </w:r>
      <w:r>
        <w:rPr>
          <w:rStyle w:val="10"/>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Style w:val="10"/>
          <w:rFonts w:hint="eastAsia" w:ascii="仿宋_GB2312" w:hAnsi="仿宋_GB2312" w:eastAsia="仿宋_GB2312" w:cs="仿宋_GB2312"/>
          <w:color w:val="000000" w:themeColor="text1"/>
          <w:sz w:val="32"/>
          <w:szCs w:val="32"/>
          <w:highlight w:val="none"/>
          <w14:textFill>
            <w14:solidFill>
              <w14:schemeClr w14:val="tx1"/>
            </w14:solidFill>
          </w14:textFill>
        </w:rPr>
        <w:t>条  其它</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1、本合同未尽事宜，经双方协商签订补充协议，并与本协议具有同等效力。</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2、本合同双方签字盖章后生效，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质保</w:t>
      </w:r>
      <w:r>
        <w:rPr>
          <w:rFonts w:hint="eastAsia" w:ascii="仿宋_GB2312" w:hAnsi="仿宋_GB2312" w:eastAsia="仿宋_GB2312" w:cs="仿宋_GB2312"/>
          <w:color w:val="000000" w:themeColor="text1"/>
          <w:sz w:val="32"/>
          <w:szCs w:val="32"/>
          <w:highlight w:val="none"/>
          <w14:textFill>
            <w14:solidFill>
              <w14:schemeClr w14:val="tx1"/>
            </w14:solidFill>
          </w14:textFill>
        </w:rPr>
        <w:t>期满后终止。</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3、合同生效后，任何一方均不得随意更改合同条款或单方面宣布终止合同，凡违反合同条款和单方面宣布终止合同均属违约。一方违约，另一方有权要求违约方承担违约金。</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在执行本合同中发生的或本合同有关的争议，双方应通过友好协商解决；协商不成时，应提交甲方所在人民法院解决。</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5、本协议一式四份，甲方二份，乙方二份。</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甲方（盖章）：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乙方（盖章）：</w:t>
      </w: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代表（签字）：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代表（签字）：</w:t>
      </w:r>
    </w:p>
    <w:p>
      <w:pPr>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6"/>
        <w:spacing w:before="0" w:beforeAutospacing="0" w:after="0" w:afterAutospacing="0" w:line="360" w:lineRule="atLeas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highlight w:val="none"/>
          <w14:textFill>
            <w14:solidFill>
              <w14:schemeClr w14:val="tx1"/>
            </w14:solidFill>
          </w14:textFill>
        </w:rPr>
        <w:t>时间：     年    月  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highlight w:val="none"/>
          <w14:textFill>
            <w14:solidFill>
              <w14:schemeClr w14:val="tx1"/>
            </w14:solidFill>
          </w14:textFill>
        </w:rPr>
        <w:t>时间：     年    月  日</w:t>
      </w:r>
    </w:p>
    <w:p>
      <w:pPr>
        <w:pStyle w:val="6"/>
        <w:spacing w:before="0" w:beforeAutospacing="0" w:after="0" w:afterAutospacing="0" w:line="360" w:lineRule="atLeast"/>
        <w:rPr>
          <w:rFonts w:hint="default" w:ascii="仿宋_GB2312" w:hAnsi="仿宋_GB2312" w:eastAsia="仿宋_GB2312" w:cs="仿宋_GB2312"/>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定地点：自贡市自流井区光大街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195号自贡客车厂</w:t>
      </w:r>
    </w:p>
    <w:sectPr>
      <w:pgSz w:w="11906" w:h="16838"/>
      <w:pgMar w:top="1440" w:right="1519" w:bottom="1440" w:left="1519"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GNmNmE2YzEwYjc2ZjkwODliZWIxODI0N2FlMmUifQ=="/>
  </w:docVars>
  <w:rsids>
    <w:rsidRoot w:val="00EA76F7"/>
    <w:rsid w:val="0004107A"/>
    <w:rsid w:val="00095FDD"/>
    <w:rsid w:val="000F4006"/>
    <w:rsid w:val="0011087F"/>
    <w:rsid w:val="00145977"/>
    <w:rsid w:val="0016642A"/>
    <w:rsid w:val="0016705B"/>
    <w:rsid w:val="0017421F"/>
    <w:rsid w:val="00191CD9"/>
    <w:rsid w:val="0019218F"/>
    <w:rsid w:val="00193572"/>
    <w:rsid w:val="001B60E1"/>
    <w:rsid w:val="001F5374"/>
    <w:rsid w:val="00205C57"/>
    <w:rsid w:val="00242D42"/>
    <w:rsid w:val="002B772C"/>
    <w:rsid w:val="00357847"/>
    <w:rsid w:val="00371F0B"/>
    <w:rsid w:val="00425A25"/>
    <w:rsid w:val="00430EAC"/>
    <w:rsid w:val="00473FA4"/>
    <w:rsid w:val="00500E73"/>
    <w:rsid w:val="00525874"/>
    <w:rsid w:val="00532AE5"/>
    <w:rsid w:val="00574C0E"/>
    <w:rsid w:val="0058405B"/>
    <w:rsid w:val="00596748"/>
    <w:rsid w:val="005F3AE9"/>
    <w:rsid w:val="00641403"/>
    <w:rsid w:val="006605B4"/>
    <w:rsid w:val="00690D19"/>
    <w:rsid w:val="00696E00"/>
    <w:rsid w:val="006973C7"/>
    <w:rsid w:val="006B605A"/>
    <w:rsid w:val="006D235A"/>
    <w:rsid w:val="006D403F"/>
    <w:rsid w:val="006E21B2"/>
    <w:rsid w:val="006F1819"/>
    <w:rsid w:val="007079EC"/>
    <w:rsid w:val="00747C5E"/>
    <w:rsid w:val="0075542D"/>
    <w:rsid w:val="00756149"/>
    <w:rsid w:val="00775811"/>
    <w:rsid w:val="00793A8E"/>
    <w:rsid w:val="007A4690"/>
    <w:rsid w:val="007B202C"/>
    <w:rsid w:val="007C487E"/>
    <w:rsid w:val="0082666E"/>
    <w:rsid w:val="0088296E"/>
    <w:rsid w:val="008854CA"/>
    <w:rsid w:val="008D28F8"/>
    <w:rsid w:val="008E7735"/>
    <w:rsid w:val="00905D82"/>
    <w:rsid w:val="00913CC8"/>
    <w:rsid w:val="0094412F"/>
    <w:rsid w:val="00960AFC"/>
    <w:rsid w:val="00970A92"/>
    <w:rsid w:val="009E48F8"/>
    <w:rsid w:val="00A1147B"/>
    <w:rsid w:val="00A22CA2"/>
    <w:rsid w:val="00AD4B3D"/>
    <w:rsid w:val="00B1157E"/>
    <w:rsid w:val="00B14B9D"/>
    <w:rsid w:val="00B21D2F"/>
    <w:rsid w:val="00B5519C"/>
    <w:rsid w:val="00B55948"/>
    <w:rsid w:val="00B67CC2"/>
    <w:rsid w:val="00BB26B8"/>
    <w:rsid w:val="00BD3E23"/>
    <w:rsid w:val="00C04F8E"/>
    <w:rsid w:val="00C3145C"/>
    <w:rsid w:val="00C52270"/>
    <w:rsid w:val="00C6620A"/>
    <w:rsid w:val="00C94589"/>
    <w:rsid w:val="00CB5974"/>
    <w:rsid w:val="00CC3974"/>
    <w:rsid w:val="00CE7365"/>
    <w:rsid w:val="00D2170F"/>
    <w:rsid w:val="00D24FC0"/>
    <w:rsid w:val="00D564C7"/>
    <w:rsid w:val="00D64521"/>
    <w:rsid w:val="00D8506A"/>
    <w:rsid w:val="00D9703B"/>
    <w:rsid w:val="00DB4BB8"/>
    <w:rsid w:val="00DB53F2"/>
    <w:rsid w:val="00DE6192"/>
    <w:rsid w:val="00DF5A82"/>
    <w:rsid w:val="00E06D07"/>
    <w:rsid w:val="00E13DE5"/>
    <w:rsid w:val="00E53938"/>
    <w:rsid w:val="00E76136"/>
    <w:rsid w:val="00EA76F7"/>
    <w:rsid w:val="00EC035D"/>
    <w:rsid w:val="00EF1193"/>
    <w:rsid w:val="00EF678F"/>
    <w:rsid w:val="00F45B4D"/>
    <w:rsid w:val="00F666AE"/>
    <w:rsid w:val="00F84195"/>
    <w:rsid w:val="00F852AA"/>
    <w:rsid w:val="00FC55B8"/>
    <w:rsid w:val="00FF2E1D"/>
    <w:rsid w:val="01CE25BC"/>
    <w:rsid w:val="028C0DD7"/>
    <w:rsid w:val="03B22623"/>
    <w:rsid w:val="063A5075"/>
    <w:rsid w:val="08841973"/>
    <w:rsid w:val="08C67976"/>
    <w:rsid w:val="096F0278"/>
    <w:rsid w:val="09811DF1"/>
    <w:rsid w:val="0AA9344C"/>
    <w:rsid w:val="0D1027F4"/>
    <w:rsid w:val="0D4F63FA"/>
    <w:rsid w:val="0E016F15"/>
    <w:rsid w:val="0EB178EA"/>
    <w:rsid w:val="10407881"/>
    <w:rsid w:val="107E027C"/>
    <w:rsid w:val="10876E8D"/>
    <w:rsid w:val="12781F1F"/>
    <w:rsid w:val="170B2535"/>
    <w:rsid w:val="17980711"/>
    <w:rsid w:val="18A26414"/>
    <w:rsid w:val="1B056038"/>
    <w:rsid w:val="1B831B3C"/>
    <w:rsid w:val="1C411577"/>
    <w:rsid w:val="1D312C3D"/>
    <w:rsid w:val="1D6657C8"/>
    <w:rsid w:val="1E1522C9"/>
    <w:rsid w:val="1E2A3C78"/>
    <w:rsid w:val="1FD864BC"/>
    <w:rsid w:val="21691B5A"/>
    <w:rsid w:val="22E772AD"/>
    <w:rsid w:val="23604AE3"/>
    <w:rsid w:val="237F509F"/>
    <w:rsid w:val="25EC08F0"/>
    <w:rsid w:val="2640409F"/>
    <w:rsid w:val="26602721"/>
    <w:rsid w:val="27F223F0"/>
    <w:rsid w:val="28EA6ED7"/>
    <w:rsid w:val="29CE523B"/>
    <w:rsid w:val="2A1F0B76"/>
    <w:rsid w:val="2ABA68C4"/>
    <w:rsid w:val="2C3F6B43"/>
    <w:rsid w:val="2D2558B5"/>
    <w:rsid w:val="2DC669C6"/>
    <w:rsid w:val="2EE77782"/>
    <w:rsid w:val="313F34C9"/>
    <w:rsid w:val="324E3C27"/>
    <w:rsid w:val="334D7CAD"/>
    <w:rsid w:val="3352569F"/>
    <w:rsid w:val="33F61679"/>
    <w:rsid w:val="34772C5E"/>
    <w:rsid w:val="34E341FD"/>
    <w:rsid w:val="36EC59EB"/>
    <w:rsid w:val="39161217"/>
    <w:rsid w:val="39A743D9"/>
    <w:rsid w:val="3A067536"/>
    <w:rsid w:val="3F7D5220"/>
    <w:rsid w:val="3F9C7557"/>
    <w:rsid w:val="3FD9559C"/>
    <w:rsid w:val="3FDB18A6"/>
    <w:rsid w:val="401C3116"/>
    <w:rsid w:val="40A75E2E"/>
    <w:rsid w:val="417B5420"/>
    <w:rsid w:val="42C2625B"/>
    <w:rsid w:val="43AC69C9"/>
    <w:rsid w:val="45A03849"/>
    <w:rsid w:val="47EE0D4E"/>
    <w:rsid w:val="48AB23C2"/>
    <w:rsid w:val="4B1069B7"/>
    <w:rsid w:val="4CE6320A"/>
    <w:rsid w:val="4D9838A0"/>
    <w:rsid w:val="50BF195F"/>
    <w:rsid w:val="517E5A23"/>
    <w:rsid w:val="518A07B6"/>
    <w:rsid w:val="5256084B"/>
    <w:rsid w:val="52884FFB"/>
    <w:rsid w:val="53220057"/>
    <w:rsid w:val="5387747F"/>
    <w:rsid w:val="54803911"/>
    <w:rsid w:val="54B341DE"/>
    <w:rsid w:val="55354456"/>
    <w:rsid w:val="5591018B"/>
    <w:rsid w:val="57F75A10"/>
    <w:rsid w:val="5A897222"/>
    <w:rsid w:val="5B1F06A9"/>
    <w:rsid w:val="5B5D2541"/>
    <w:rsid w:val="5C194617"/>
    <w:rsid w:val="5E1615A8"/>
    <w:rsid w:val="5F407CDE"/>
    <w:rsid w:val="5FE65EE6"/>
    <w:rsid w:val="61FE6E23"/>
    <w:rsid w:val="62254F2A"/>
    <w:rsid w:val="64451248"/>
    <w:rsid w:val="644F4B72"/>
    <w:rsid w:val="66823D5E"/>
    <w:rsid w:val="66FA0FDF"/>
    <w:rsid w:val="693A4316"/>
    <w:rsid w:val="6A3E7762"/>
    <w:rsid w:val="6B23304C"/>
    <w:rsid w:val="6C255926"/>
    <w:rsid w:val="6CF45A86"/>
    <w:rsid w:val="6E3346EB"/>
    <w:rsid w:val="6E35543A"/>
    <w:rsid w:val="6E706069"/>
    <w:rsid w:val="704A5670"/>
    <w:rsid w:val="71042F65"/>
    <w:rsid w:val="710D0D69"/>
    <w:rsid w:val="71106E16"/>
    <w:rsid w:val="717A0B6A"/>
    <w:rsid w:val="72B45EA7"/>
    <w:rsid w:val="74D54F15"/>
    <w:rsid w:val="74E55700"/>
    <w:rsid w:val="765C3E89"/>
    <w:rsid w:val="76C415B0"/>
    <w:rsid w:val="7AB93BC2"/>
    <w:rsid w:val="7BC970A0"/>
    <w:rsid w:val="7D917D75"/>
    <w:rsid w:val="7E71456A"/>
    <w:rsid w:val="7F02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tabs>
        <w:tab w:val="left" w:pos="567"/>
      </w:tabs>
      <w:spacing w:before="260" w:after="260" w:line="360" w:lineRule="auto"/>
      <w:jc w:val="left"/>
      <w:outlineLvl w:val="1"/>
    </w:pPr>
    <w:rPr>
      <w:rFonts w:ascii="宋体" w:hAnsi="宋体"/>
      <w:b/>
      <w:bCs/>
      <w:kern w:val="0"/>
      <w:sz w:val="28"/>
      <w:szCs w:val="28"/>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pPr>
      <w:spacing w:after="120"/>
    </w:pPr>
    <w:rPr>
      <w:rFonts w:ascii="Times New Roman" w:hAnsi="Times New Roman" w:eastAsia="宋体" w:cs="Times New Roman"/>
      <w:szCs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basedOn w:val="9"/>
    <w:qFormat/>
    <w:uiPriority w:val="0"/>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正文文本 Char"/>
    <w:basedOn w:val="9"/>
    <w:link w:val="3"/>
    <w:qFormat/>
    <w:uiPriority w:val="0"/>
    <w:rPr>
      <w:rFonts w:ascii="Times New Roman" w:hAnsi="Times New Roman" w:eastAsia="宋体" w:cs="Times New Roman"/>
      <w:szCs w:val="24"/>
    </w:rPr>
  </w:style>
  <w:style w:type="character" w:customStyle="1" w:styleId="16">
    <w:name w:val="font01"/>
    <w:basedOn w:val="9"/>
    <w:qFormat/>
    <w:uiPriority w:val="0"/>
    <w:rPr>
      <w:rFonts w:ascii="Wingdings 2" w:hAnsi="Wingdings 2" w:eastAsia="Wingdings 2" w:cs="Wingdings 2"/>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41"/>
    <w:basedOn w:val="9"/>
    <w:qFormat/>
    <w:uiPriority w:val="0"/>
    <w:rPr>
      <w:rFonts w:ascii="Wingdings 2" w:hAnsi="Wingdings 2" w:eastAsia="Wingdings 2" w:cs="Wingdings 2"/>
      <w:color w:val="000000"/>
      <w:sz w:val="20"/>
      <w:szCs w:val="20"/>
      <w:u w:val="none"/>
    </w:rPr>
  </w:style>
  <w:style w:type="character" w:customStyle="1" w:styleId="19">
    <w:name w:val="font21"/>
    <w:basedOn w:val="9"/>
    <w:qFormat/>
    <w:uiPriority w:val="0"/>
    <w:rPr>
      <w:rFonts w:hint="eastAsia" w:ascii="宋体" w:hAnsi="宋体" w:eastAsia="宋体" w:cs="宋体"/>
      <w:color w:val="000000"/>
      <w:sz w:val="20"/>
      <w:szCs w:val="20"/>
      <w:u w:val="none"/>
    </w:rPr>
  </w:style>
  <w:style w:type="paragraph" w:customStyle="1" w:styleId="20">
    <w:name w:val="（符号）三标题1.1"/>
    <w:basedOn w:val="1"/>
    <w:qFormat/>
    <w:uiPriority w:val="0"/>
    <w:pPr>
      <w:tabs>
        <w:tab w:val="left" w:pos="700"/>
      </w:tabs>
      <w:spacing w:line="500" w:lineRule="exact"/>
      <w:ind w:left="1320" w:hanging="420"/>
    </w:pPr>
    <w:rPr>
      <w:rFonts w:ascii="宋体" w:hAnsi="宋体"/>
      <w:sz w:val="24"/>
      <w:szCs w:val="22"/>
    </w:rPr>
  </w:style>
  <w:style w:type="paragraph" w:customStyle="1" w:styleId="21">
    <w:name w:val="_正文段落"/>
    <w:basedOn w:val="1"/>
    <w:qFormat/>
    <w:uiPriority w:val="0"/>
    <w:pPr>
      <w:spacing w:line="360" w:lineRule="auto"/>
    </w:pPr>
    <w:rPr>
      <w:rFonts w:ascii="宋体" w:hAnsi="Calibri" w:eastAsia="仿宋_GB2312"/>
      <w:kern w:val="0"/>
      <w:sz w:val="28"/>
    </w:rPr>
  </w:style>
  <w:style w:type="character" w:customStyle="1" w:styleId="22">
    <w:name w:val="qowt-font3"/>
    <w:qFormat/>
    <w:uiPriority w:val="0"/>
  </w:style>
  <w:style w:type="paragraph" w:customStyle="1" w:styleId="23">
    <w:name w:val="qowt-stl-a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1CD54-1A50-4C2F-8F40-295CB2854481}">
  <ds:schemaRefs/>
</ds:datastoreItem>
</file>

<file path=docProps/app.xml><?xml version="1.0" encoding="utf-8"?>
<Properties xmlns="http://schemas.openxmlformats.org/officeDocument/2006/extended-properties" xmlns:vt="http://schemas.openxmlformats.org/officeDocument/2006/docPropsVTypes">
  <Template>Normal</Template>
  <Pages>13</Pages>
  <Words>2749</Words>
  <Characters>2866</Characters>
  <Lines>15</Lines>
  <Paragraphs>4</Paragraphs>
  <TotalTime>3</TotalTime>
  <ScaleCrop>false</ScaleCrop>
  <LinksUpToDate>false</LinksUpToDate>
  <CharactersWithSpaces>3303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2019-05-07T06:09:00Z</dcterms:created>
  <dc:creator>Windows 用户</dc:creator>
  <cp:lastModifiedBy>gjjt</cp:lastModifiedBy>
  <cp:lastPrinted>2020-11-25T00:42:00Z</cp:lastPrinted>
  <dcterms:modified xsi:type="dcterms:W3CDTF">2023-10-17T02:28:56Z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A11E6235A3AA4E0C800E1CBE2CB04464_13</vt:lpwstr>
  </property>
</Properties>
</file>