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仿宋_GB2312" w:asciiTheme="minorEastAsia" w:hAnsiTheme="minorEastAsia"/>
          <w:b/>
          <w:bCs/>
          <w:sz w:val="36"/>
          <w:szCs w:val="36"/>
        </w:rPr>
      </w:pPr>
      <w:r>
        <w:rPr>
          <w:rFonts w:hint="eastAsia" w:cs="仿宋_GB2312" w:asciiTheme="minorEastAsia" w:hAnsiTheme="minorEastAsia"/>
          <w:b/>
          <w:bCs/>
          <w:sz w:val="36"/>
          <w:szCs w:val="36"/>
        </w:rPr>
        <w:t>经营开发分公司</w:t>
      </w:r>
    </w:p>
    <w:p>
      <w:pPr>
        <w:jc w:val="center"/>
        <w:rPr>
          <w:rFonts w:cs="仿宋_GB2312" w:asciiTheme="minorEastAsia" w:hAnsiTheme="minorEastAsia"/>
          <w:b/>
          <w:bCs/>
          <w:sz w:val="36"/>
          <w:szCs w:val="36"/>
        </w:rPr>
      </w:pPr>
      <w:r>
        <w:rPr>
          <w:rFonts w:hint="eastAsia" w:cs="仿宋_GB2312" w:asciiTheme="minorEastAsia" w:hAnsiTheme="minorEastAsia"/>
          <w:b/>
          <w:bCs/>
          <w:sz w:val="36"/>
          <w:szCs w:val="36"/>
        </w:rPr>
        <w:t>虎头桥二期建设商讨工作会议纪要</w:t>
      </w:r>
    </w:p>
    <w:p>
      <w:pPr>
        <w:rPr>
          <w:rFonts w:ascii="仿宋_GB2312" w:hAnsi="仿宋_GB2312" w:eastAsia="仿宋_GB2312" w:cs="仿宋_GB231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7月21日上午9时，集团公司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分管领导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组织相关单位人员，对虎头桥二期建设的范围和作业内容进行现场查勘、商议讨论，最终形成以下一致建设内容：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一、场站大门：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前大门（临原加气站）：不实施新大门建设，利用原有大门立柱，按原样式、颜色铺玻化砖，大门改为铁艺大门或不锈钢大门（样式现场确定）；门前花台保留，进行维修；门卫室开窗一扇，视距要躲开室外黄角树，室内刷白，阳台拆除，阳台水槽等内移；对面与居民公用墙体上部砖墙水泥砂浆抹灰、下部坨石基础人工修整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大门（临输气队）：因宽度限制，按照效果图做大门，依据现场实际局部修正；采用伸缩门关拦，需占用输气队少量土地（约2-3平方米），由经开公司出效果图后，压缩气公司协调输气队；门卫室再开一扇窗，大门外做截水沟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检修地沟及棚：在原胎工间的位置，做检修地沟，具体位置考虑实际，现场放线实测车辆运行轨迹定位；地沟上需要做遮雨棚及车顶上人检修平台；地沟排水考虑集水坑配潜水泵；地沟内配置低压安全电源、布设打气泵供气管道（注：接口等由客车厂后期自行安装），地沟深度为130cm，宽度为80cm。此处原消防栓移位至墙边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三、二层办楼房：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1、一层布局分配：自西向东第1-2间为客车厂用房，第3-10间为二公司用房，第11-12间为厕所，第13间改造为到上坝面人行梯道。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2、二层布局分配：自西向东第1-10间封闭、空置不用；第11-12间为厕所，第13间改造为到上坝面人行梯道。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3、房屋加固：依据鉴定意见，对房屋的外墙体进行加固作业，采用穿墙钢筋加外穿钢背心，高强砂浆抹灰加固。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4、屋顶更换树脂瓦，屋架、檩条视情抽换。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底楼靠堡坎处做集水沟和防渗漏挡墙，防止山体浸水。室内地砖、墙面刷白、吊顶、塑钢窗、防盗门；一层做无声雨棚；外墙下1.2米贴100*100蓝色方砖，上部外墙漆；做好相应的供电、给水设计，特别注意考虑空调用电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6、二楼封闭后合墙窗，后外墙、侧墙刷白色。除厕所外，房屋与堡坎间通道封闭，不再进出人员。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7、厕所采用水冲式蹲便，轻质隔墙，配相应的水电设施。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到上坝面人行梯道：设计两套方案。一是配电室不拆时，上坡车道将完全占用现人行梯道，则新做人行梯道到上坝面；二是如果拆除配电室新装箱式变压器，则利用原人行梯道到上坝面；电器管线采用桥架布局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四、坝面建设：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1、计划对现下坝面破损约4200平方、上坝面约1600平方采用混凝土进行硬化；上坝面采用12cm厚C30混凝土（停小车）、下坝面18cm厚C30混凝土，面层刻纹。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2、在原客车厂车间前集水井处做暗沟，将水导入防洪渠。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3、在靠近洗车机处地面，做暗集水沟，防止地下水影响混凝土使用寿命。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4、在靠近原胎工间处，新做围墙与其他居民围墙隔离，外堡坎处做铁艺栏杆，停靠车辆的位置加装波形护栏；上坝面靠堡坎边安装波形护栏。</w:t>
      </w:r>
      <w:bookmarkStart w:id="0" w:name="_GoBack"/>
      <w:bookmarkEnd w:id="0"/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五、洗车场：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1、洗车控制室定位车辆入口处（靠堡坎），采用新式集装箱房（王家大院首末站样式）；空压机及水泵根据现场挪动位置，取消管理用房。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六、上下坡道：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1、上下坝面间做混凝土车道，宽度7米，上下高差控制在4.2米；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2、路边做波形护栏，坡度10%，满足小车上下需求。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七、电缆铺设：配电室到二公司办公楼、洗车场、两层楼房处均采用地下电缆铺设，取消现状电杆及线路。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八、垃圾库、消防棚原位置重建，此处的消防栓分两处设置，一处向加气站方向适当位置移动，一处至上下坡到转弯处。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九、加气站冷却塔处污水渗漏，安装暗管进行规范排放。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十、场内照明：计划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组高灯杆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及零星LED射灯</w:t>
      </w:r>
      <w:r>
        <w:rPr>
          <w:rFonts w:hint="eastAsia" w:ascii="仿宋_GB2312" w:hAnsi="仿宋_GB2312" w:eastAsia="仿宋_GB2312" w:cs="仿宋_GB2312"/>
          <w:sz w:val="32"/>
          <w:szCs w:val="32"/>
        </w:rPr>
        <w:t>及预埋管线。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、拆除工程：原旱厕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洗车机控制室、原充电桩位及相关电源、客车厂原机油房、压缩气公司厕所及洗澡间（注，压缩气公司需要的消防棚、机油房等，由压缩气公司按维修申报单自行处置）。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、未包含项目：箱式变压器及外线工程、洗车机设备及基础（经对接技术部，可利用原有基础）。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十三、特别说明：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1、上述工程内容和范围经各相关方商议确认，以后新增内容严格按照基本建设管理制度和程序执行。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2、供电问题由技术部向集团公司申报确定，涉及的相关土建费用，由技术部统一申报确定，新增内容和费用不进入本项目及追加项目中。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十四、临输气队一侧的围墙：墙体上部砖墙砂浆刷白、下部坨石基础人工修整。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0D"/>
    <w:rsid w:val="000F3203"/>
    <w:rsid w:val="0010410D"/>
    <w:rsid w:val="003F78C8"/>
    <w:rsid w:val="00411B7A"/>
    <w:rsid w:val="00511680"/>
    <w:rsid w:val="005349B4"/>
    <w:rsid w:val="005445B2"/>
    <w:rsid w:val="00547342"/>
    <w:rsid w:val="00937762"/>
    <w:rsid w:val="00A77DA5"/>
    <w:rsid w:val="00C713BE"/>
    <w:rsid w:val="00D15741"/>
    <w:rsid w:val="00E81D36"/>
    <w:rsid w:val="07AD0982"/>
    <w:rsid w:val="13445A6A"/>
    <w:rsid w:val="29F77426"/>
    <w:rsid w:val="2CE775E3"/>
    <w:rsid w:val="3A8A13AC"/>
    <w:rsid w:val="5BD65D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ZGSJTYSJ</Company>
  <Pages>1</Pages>
  <Words>286</Words>
  <Characters>1634</Characters>
  <Lines>13</Lines>
  <Paragraphs>3</Paragraphs>
  <TotalTime>3</TotalTime>
  <ScaleCrop>false</ScaleCrop>
  <LinksUpToDate>false</LinksUpToDate>
  <CharactersWithSpaces>1917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2021-07-23T09:05:00Z</dcterms:created>
  <dc:creator>Administrator</dc:creator>
  <cp:lastModifiedBy>赖丽梅</cp:lastModifiedBy>
  <dcterms:modified xsi:type="dcterms:W3CDTF">2021-08-31T01:12:53Z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