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49" w:rsidRDefault="00380CCF">
      <w:pPr>
        <w:jc w:val="center"/>
        <w:rPr>
          <w:rFonts w:ascii="仿宋_GB2312" w:eastAsia="仿宋_GB2312" w:hAnsi="仿宋_GB2312" w:cs="仿宋_GB2312"/>
          <w:color w:val="121212"/>
          <w:sz w:val="36"/>
          <w:szCs w:val="36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121212"/>
          <w:sz w:val="36"/>
          <w:szCs w:val="36"/>
          <w:shd w:val="clear" w:color="auto" w:fill="FFFFFF"/>
        </w:rPr>
        <w:t>评审情况</w:t>
      </w:r>
    </w:p>
    <w:p w:rsidR="00D83C49" w:rsidRDefault="00380CCF">
      <w:pPr>
        <w:jc w:val="left"/>
        <w:rPr>
          <w:rFonts w:ascii="仿宋_GB2312" w:eastAsia="仿宋_GB2312" w:hAnsi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按集团公司采购管理的要求，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06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07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日下午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14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00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时集团“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公交客运车辆配件采购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”询价采购项目的询价采购活动在客车厂会议室正式开始。</w:t>
      </w:r>
    </w:p>
    <w:p w:rsidR="00D83C49" w:rsidRDefault="00380CCF">
      <w:pPr>
        <w:jc w:val="left"/>
        <w:rPr>
          <w:rFonts w:ascii="仿宋_GB2312" w:eastAsia="仿宋_GB2312" w:hAnsi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通过从集团公司专家库中抽签产生的询价评审专家陈再、王坚、佘坤、杨波、江庆等五人组成本次询价采购评审小组。</w:t>
      </w:r>
      <w:proofErr w:type="gramStart"/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经小组</w:t>
      </w:r>
      <w:proofErr w:type="gramEnd"/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成员推举，由江庆担任本次询价采购评审小组组长。受集团纪检审计部的委托，客车厂党支部委员陈梅、党员职工代表傅雪峰、职工代表刘倩全程参与本次采购活动评审纪律监督和职工监督工作。</w:t>
      </w:r>
    </w:p>
    <w:p w:rsidR="00D83C49" w:rsidRDefault="00380CCF">
      <w:pPr>
        <w:ind w:firstLineChars="200" w:firstLine="640"/>
        <w:rPr>
          <w:rFonts w:ascii="仿宋_GB2312" w:eastAsia="仿宋_GB2312" w:hAnsi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本次询价采购项目的询价采购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公告于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05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日在自贡公交网（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www.zgbus.net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）公开发布，到公告规定的截止日期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06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07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日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14:00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时，有成都逸</w:t>
      </w:r>
      <w:proofErr w:type="gramStart"/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昊</w:t>
      </w:r>
      <w:proofErr w:type="gramEnd"/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海格商贸有限责任公司等十二家供应商送达响应文件，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分别响应“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CNG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火花塞配件采购”等四个采购项目。采购评审小组按照采购文件的要求对响应文件进行评审，本次“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公交客运车辆配件采购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”四个询价采购项目的评审情况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如下</w:t>
      </w:r>
      <w:r w:rsidR="00047375"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：</w:t>
      </w:r>
    </w:p>
    <w:p w:rsidR="00D83C49" w:rsidRDefault="00D83C49">
      <w:pPr>
        <w:ind w:firstLineChars="200" w:firstLine="640"/>
        <w:rPr>
          <w:rFonts w:ascii="仿宋_GB2312" w:eastAsia="仿宋_GB2312" w:hAnsi="仿宋_GB2312" w:cs="仿宋_GB2312"/>
          <w:color w:val="121212"/>
          <w:sz w:val="32"/>
          <w:szCs w:val="32"/>
          <w:shd w:val="clear" w:color="auto" w:fill="FFFFFF"/>
        </w:rPr>
      </w:pPr>
    </w:p>
    <w:p w:rsidR="00D83C49" w:rsidRDefault="00380CC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color w:val="1212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CNG</w:t>
      </w:r>
      <w:r>
        <w:rPr>
          <w:rFonts w:ascii="仿宋_GB2312" w:eastAsia="仿宋_GB2312" w:hAnsi="仿宋_GB2312" w:cs="仿宋_GB2312" w:hint="eastAsia"/>
          <w:color w:val="121212"/>
          <w:sz w:val="32"/>
          <w:szCs w:val="32"/>
          <w:shd w:val="clear" w:color="auto" w:fill="FFFFFF"/>
        </w:rPr>
        <w:t>火花塞配件采购”项目</w:t>
      </w:r>
    </w:p>
    <w:tbl>
      <w:tblPr>
        <w:tblStyle w:val="a3"/>
        <w:tblW w:w="0" w:type="auto"/>
        <w:tblLook w:val="04A0"/>
      </w:tblPr>
      <w:tblGrid>
        <w:gridCol w:w="2904"/>
        <w:gridCol w:w="2155"/>
        <w:gridCol w:w="1813"/>
        <w:gridCol w:w="1650"/>
      </w:tblGrid>
      <w:tr w:rsidR="00D83C49">
        <w:tc>
          <w:tcPr>
            <w:tcW w:w="2904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121212"/>
                <w:sz w:val="24"/>
                <w:shd w:val="clear" w:color="auto" w:fill="FFFFFF"/>
              </w:rPr>
              <w:t>响应供应商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121212"/>
                <w:sz w:val="24"/>
                <w:shd w:val="clear" w:color="auto" w:fill="FFFFFF"/>
              </w:rPr>
              <w:t>响应文件符合性审查情况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121212"/>
                <w:sz w:val="24"/>
                <w:shd w:val="clear" w:color="auto" w:fill="FFFFFF"/>
              </w:rPr>
              <w:t>报价（元）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121212"/>
                <w:sz w:val="24"/>
                <w:shd w:val="clear" w:color="auto" w:fill="FFFFFF"/>
              </w:rPr>
              <w:t>推荐顺序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lastRenderedPageBreak/>
              <w:t>成都逸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海格商贸有限公司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符合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191100.00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第一名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四川友联电器电子开发有限公司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符合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191100.00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第二名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重庆恒华工程机械设备配件有限公司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符合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193830.00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第三名</w:t>
            </w:r>
          </w:p>
        </w:tc>
      </w:tr>
      <w:tr w:rsidR="00D83C49">
        <w:trPr>
          <w:trHeight w:val="575"/>
        </w:trPr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成都成客商贸有限公司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符合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195686.40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不推荐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自贡市亿达汽车配件有限公司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符合</w:t>
            </w:r>
          </w:p>
        </w:tc>
        <w:tc>
          <w:tcPr>
            <w:tcW w:w="1813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202020.00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color w:val="121212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121212"/>
                <w:sz w:val="24"/>
                <w:shd w:val="clear" w:color="auto" w:fill="FFFFFF"/>
              </w:rPr>
              <w:t>不推荐</w:t>
            </w:r>
          </w:p>
        </w:tc>
      </w:tr>
    </w:tbl>
    <w:p w:rsidR="00D83C49" w:rsidRDefault="00D83C49">
      <w:pPr>
        <w:rPr>
          <w:rFonts w:ascii="仿宋_GB2312" w:eastAsia="仿宋_GB2312" w:hAnsi="仿宋_GB2312" w:cs="仿宋_GB2312"/>
          <w:color w:val="121212"/>
          <w:sz w:val="24"/>
          <w:shd w:val="clear" w:color="auto" w:fill="FFFFFF"/>
        </w:rPr>
      </w:pPr>
    </w:p>
    <w:p w:rsidR="00D83C49" w:rsidRDefault="00380CC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“玉柴</w:t>
      </w:r>
      <w:r>
        <w:rPr>
          <w:rFonts w:ascii="仿宋_GB2312" w:eastAsia="仿宋_GB2312" w:hAnsi="仿宋_GB2312" w:cs="仿宋_GB2312" w:hint="eastAsia"/>
          <w:sz w:val="32"/>
          <w:szCs w:val="32"/>
        </w:rPr>
        <w:t>CNG</w:t>
      </w:r>
      <w:r>
        <w:rPr>
          <w:rFonts w:ascii="仿宋_GB2312" w:eastAsia="仿宋_GB2312" w:hAnsi="仿宋_GB2312" w:cs="仿宋_GB2312" w:hint="eastAsia"/>
          <w:sz w:val="32"/>
          <w:szCs w:val="32"/>
        </w:rPr>
        <w:t>发动机配件采购”项目</w:t>
      </w:r>
    </w:p>
    <w:tbl>
      <w:tblPr>
        <w:tblStyle w:val="a3"/>
        <w:tblW w:w="0" w:type="auto"/>
        <w:tblLook w:val="04A0"/>
      </w:tblPr>
      <w:tblGrid>
        <w:gridCol w:w="2904"/>
        <w:gridCol w:w="2168"/>
        <w:gridCol w:w="1800"/>
        <w:gridCol w:w="1650"/>
      </w:tblGrid>
      <w:tr w:rsidR="00D83C49">
        <w:tc>
          <w:tcPr>
            <w:tcW w:w="2904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响应供应商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响应文件符合性审查情况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报价（元）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推荐顺序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四川友联电器电子开发有限公司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197550.00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第一名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成都猛虎机电设备有限公司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199876.00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第二名</w:t>
            </w:r>
          </w:p>
        </w:tc>
      </w:tr>
      <w:tr w:rsidR="00D83C49"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海格商贸有限公司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218300.00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第三名</w:t>
            </w:r>
          </w:p>
        </w:tc>
      </w:tr>
      <w:tr w:rsidR="00D83C49">
        <w:trPr>
          <w:trHeight w:val="534"/>
        </w:trPr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成都成客商贸有限公司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218600.00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</w:tr>
      <w:tr w:rsidR="00D83C49">
        <w:trPr>
          <w:trHeight w:val="548"/>
        </w:trPr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成都龙捷商贸有限公司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224200.00</w:t>
            </w: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</w:tr>
      <w:tr w:rsidR="00D83C49">
        <w:trPr>
          <w:trHeight w:val="603"/>
        </w:trPr>
        <w:tc>
          <w:tcPr>
            <w:tcW w:w="2904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自贡市亿达汽车配件有限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不符合</w:t>
            </w:r>
          </w:p>
        </w:tc>
        <w:tc>
          <w:tcPr>
            <w:tcW w:w="1800" w:type="dxa"/>
          </w:tcPr>
          <w:p w:rsidR="00D83C49" w:rsidRDefault="00D83C49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83C49" w:rsidRDefault="00D83C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5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不推荐</w:t>
            </w:r>
          </w:p>
        </w:tc>
      </w:tr>
    </w:tbl>
    <w:p w:rsidR="00D83C49" w:rsidRDefault="00D83C49" w:rsidP="00F648F5">
      <w:pPr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D83C49" w:rsidRDefault="00380CC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“离合器配件采购”项目</w:t>
      </w:r>
    </w:p>
    <w:tbl>
      <w:tblPr>
        <w:tblStyle w:val="a3"/>
        <w:tblW w:w="0" w:type="auto"/>
        <w:tblLook w:val="04A0"/>
      </w:tblPr>
      <w:tblGrid>
        <w:gridCol w:w="2918"/>
        <w:gridCol w:w="2168"/>
        <w:gridCol w:w="1800"/>
        <w:gridCol w:w="1636"/>
      </w:tblGrid>
      <w:tr w:rsidR="00D83C49">
        <w:tc>
          <w:tcPr>
            <w:tcW w:w="291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响应供应商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响应文件符合性审查情况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报价（元）</w:t>
            </w: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推荐顺序</w:t>
            </w:r>
          </w:p>
        </w:tc>
      </w:tr>
      <w:tr w:rsidR="00D83C49">
        <w:trPr>
          <w:trHeight w:val="90"/>
        </w:trPr>
        <w:tc>
          <w:tcPr>
            <w:tcW w:w="2918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自贡市宏伟商贸有限公司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326800.00</w:t>
            </w: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第一名</w:t>
            </w:r>
          </w:p>
        </w:tc>
      </w:tr>
      <w:tr w:rsidR="00D83C49">
        <w:trPr>
          <w:trHeight w:val="520"/>
        </w:trPr>
        <w:tc>
          <w:tcPr>
            <w:tcW w:w="2918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自贡市旭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00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329200.00</w:t>
            </w: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第二名</w:t>
            </w:r>
          </w:p>
        </w:tc>
      </w:tr>
      <w:tr w:rsidR="00D83C49">
        <w:trPr>
          <w:trHeight w:val="511"/>
        </w:trPr>
        <w:tc>
          <w:tcPr>
            <w:tcW w:w="2918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自贡鼎泰物资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配件有限公司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00" w:type="dxa"/>
          </w:tcPr>
          <w:p w:rsidR="00D83C49" w:rsidRDefault="00D83C49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83C49" w:rsidRDefault="00D83C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</w:tr>
      <w:tr w:rsidR="00D83C49">
        <w:trPr>
          <w:trHeight w:val="524"/>
        </w:trPr>
        <w:tc>
          <w:tcPr>
            <w:tcW w:w="2918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4"/>
              </w:rPr>
              <w:t>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海格商贸有限公司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00" w:type="dxa"/>
          </w:tcPr>
          <w:p w:rsidR="00D83C49" w:rsidRDefault="00D83C49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83C49" w:rsidRDefault="00D83C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</w:tr>
      <w:tr w:rsidR="00D83C49">
        <w:trPr>
          <w:trHeight w:val="589"/>
        </w:trPr>
        <w:tc>
          <w:tcPr>
            <w:tcW w:w="2918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成都骏鑫汽车配件有限公司</w:t>
            </w:r>
          </w:p>
        </w:tc>
        <w:tc>
          <w:tcPr>
            <w:tcW w:w="2168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00" w:type="dxa"/>
          </w:tcPr>
          <w:p w:rsidR="00D83C49" w:rsidRDefault="00D83C49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D83C49" w:rsidRDefault="00D83C4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6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不推荐</w:t>
            </w:r>
          </w:p>
        </w:tc>
      </w:tr>
    </w:tbl>
    <w:p w:rsidR="00D83C49" w:rsidRDefault="00380CCF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“盘式制动器配件采购”项目</w:t>
      </w:r>
    </w:p>
    <w:tbl>
      <w:tblPr>
        <w:tblStyle w:val="a3"/>
        <w:tblW w:w="0" w:type="auto"/>
        <w:tblLook w:val="04A0"/>
      </w:tblPr>
      <w:tblGrid>
        <w:gridCol w:w="2931"/>
        <w:gridCol w:w="2155"/>
        <w:gridCol w:w="1814"/>
        <w:gridCol w:w="1622"/>
      </w:tblGrid>
      <w:tr w:rsidR="00D83C49">
        <w:tc>
          <w:tcPr>
            <w:tcW w:w="2931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响应供应商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响应文件符合性审查情况</w:t>
            </w:r>
          </w:p>
        </w:tc>
        <w:tc>
          <w:tcPr>
            <w:tcW w:w="1814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报价（元）</w:t>
            </w:r>
          </w:p>
        </w:tc>
        <w:tc>
          <w:tcPr>
            <w:tcW w:w="1622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推荐顺序</w:t>
            </w:r>
          </w:p>
        </w:tc>
      </w:tr>
      <w:tr w:rsidR="00D83C49">
        <w:tc>
          <w:tcPr>
            <w:tcW w:w="2931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自贡鼎泰物资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配件有限公司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</w:t>
            </w:r>
          </w:p>
        </w:tc>
        <w:tc>
          <w:tcPr>
            <w:tcW w:w="1814" w:type="dxa"/>
            <w:vMerge w:val="restart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622" w:type="dxa"/>
            <w:vMerge w:val="restart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因符合性审查合格商家不足二家，按照本项目招标文件的要求终止本项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目采购活动。</w:t>
            </w:r>
          </w:p>
        </w:tc>
      </w:tr>
      <w:tr w:rsidR="00D83C49">
        <w:trPr>
          <w:trHeight w:val="548"/>
        </w:trPr>
        <w:tc>
          <w:tcPr>
            <w:tcW w:w="2931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成都万赛商贸有限公司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14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2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3C49">
        <w:tc>
          <w:tcPr>
            <w:tcW w:w="2931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成都骏鑫汽车配件有限公司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14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2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3C49">
        <w:tc>
          <w:tcPr>
            <w:tcW w:w="2931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重庆恒华工程机械设备配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件有限公司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不符合</w:t>
            </w:r>
          </w:p>
        </w:tc>
        <w:tc>
          <w:tcPr>
            <w:tcW w:w="1814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2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3C49">
        <w:tc>
          <w:tcPr>
            <w:tcW w:w="2931" w:type="dxa"/>
          </w:tcPr>
          <w:p w:rsidR="00D83C49" w:rsidRDefault="00380CCF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成都逸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昊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海格商贸有限贵公司</w:t>
            </w:r>
          </w:p>
        </w:tc>
        <w:tc>
          <w:tcPr>
            <w:tcW w:w="2155" w:type="dxa"/>
          </w:tcPr>
          <w:p w:rsidR="00D83C49" w:rsidRDefault="00380CC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不符合</w:t>
            </w:r>
          </w:p>
        </w:tc>
        <w:tc>
          <w:tcPr>
            <w:tcW w:w="1814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2" w:type="dxa"/>
            <w:vMerge/>
          </w:tcPr>
          <w:p w:rsidR="00D83C49" w:rsidRDefault="00D83C49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83C49" w:rsidRDefault="00D83C49" w:rsidP="00F648F5">
      <w:pPr>
        <w:ind w:leftChars="200" w:left="420"/>
        <w:rPr>
          <w:rFonts w:ascii="仿宋_GB2312" w:eastAsia="仿宋_GB2312" w:hAnsi="仿宋_GB2312" w:cs="仿宋_GB2312"/>
          <w:sz w:val="24"/>
        </w:rPr>
      </w:pPr>
    </w:p>
    <w:p w:rsidR="00047375" w:rsidRDefault="00047375">
      <w:pPr>
        <w:ind w:firstLineChars="800" w:firstLine="2560"/>
        <w:rPr>
          <w:rFonts w:ascii="仿宋_GB2312" w:eastAsia="仿宋_GB2312" w:hAnsi="仿宋_GB2312" w:cs="仿宋_GB2312"/>
          <w:sz w:val="32"/>
          <w:szCs w:val="32"/>
        </w:rPr>
      </w:pPr>
    </w:p>
    <w:p w:rsidR="00D83C49" w:rsidRDefault="00380CCF">
      <w:pPr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06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07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83C49" w:rsidSect="00D8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CCF" w:rsidRDefault="00380CCF" w:rsidP="00F648F5">
      <w:r>
        <w:separator/>
      </w:r>
    </w:p>
  </w:endnote>
  <w:endnote w:type="continuationSeparator" w:id="0">
    <w:p w:rsidR="00380CCF" w:rsidRDefault="00380CCF" w:rsidP="00F64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7A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CCF" w:rsidRDefault="00380CCF" w:rsidP="00F648F5">
      <w:r>
        <w:separator/>
      </w:r>
    </w:p>
  </w:footnote>
  <w:footnote w:type="continuationSeparator" w:id="0">
    <w:p w:rsidR="00380CCF" w:rsidRDefault="00380CCF" w:rsidP="00F648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7438A"/>
    <w:multiLevelType w:val="singleLevel"/>
    <w:tmpl w:val="AA87438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D56E37"/>
    <w:rsid w:val="00047375"/>
    <w:rsid w:val="00380CCF"/>
    <w:rsid w:val="00A635DB"/>
    <w:rsid w:val="00D83C49"/>
    <w:rsid w:val="00F648F5"/>
    <w:rsid w:val="2AD56E37"/>
    <w:rsid w:val="4F0C433B"/>
    <w:rsid w:val="5F28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83C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64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48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64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48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182</Words>
  <Characters>1040</Characters>
  <Application>Microsoft Office Word</Application>
  <DocSecurity>0</DocSecurity>
  <Lines>8</Lines>
  <Paragraphs>2</Paragraphs>
  <ScaleCrop>false</ScaleCrop>
  <Company>HP Inc.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江庆</dc:creator>
  <cp:lastModifiedBy>gjgs</cp:lastModifiedBy>
  <cp:revision>13</cp:revision>
  <dcterms:created xsi:type="dcterms:W3CDTF">2021-06-09T09:19:00Z</dcterms:created>
  <dcterms:modified xsi:type="dcterms:W3CDTF">2021-06-09T09:33:00Z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